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6B" w:rsidRPr="00147F6B" w:rsidRDefault="00147F6B" w:rsidP="00147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z-Latn-AZ"/>
        </w:rPr>
        <w:br/>
      </w:r>
      <w:r w:rsidRPr="00AB7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z-Latn-AZ"/>
        </w:rPr>
        <w:t>AZƏRBAYCAN RESPUBLİKASININ TARİF (QİYMƏT) ŞURASI</w:t>
      </w:r>
    </w:p>
    <w:p w:rsidR="00147F6B" w:rsidRPr="00147F6B" w:rsidRDefault="00147F6B" w:rsidP="00147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AB7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z-Latn-AZ"/>
        </w:rPr>
        <w:t>QƏRAR № 11</w:t>
      </w:r>
    </w:p>
    <w:p w:rsidR="00147F6B" w:rsidRPr="00147F6B" w:rsidRDefault="00147F6B" w:rsidP="00147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AB7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z-Latn-AZ"/>
        </w:rPr>
        <w:t>Bakı şəhəri, 14 iyul 2016-cı il</w:t>
      </w:r>
    </w:p>
    <w:p w:rsidR="00147F6B" w:rsidRPr="00147F6B" w:rsidRDefault="00147F6B" w:rsidP="00147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AB7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z-Latn-AZ"/>
        </w:rPr>
        <w:t xml:space="preserve">Elektrik enerjisinin </w:t>
      </w:r>
      <w:proofErr w:type="spellStart"/>
      <w:r w:rsidRPr="00AB7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z-Latn-AZ"/>
        </w:rPr>
        <w:t>ölkədaxili</w:t>
      </w:r>
      <w:proofErr w:type="spellEnd"/>
      <w:r w:rsidRPr="00AB7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z-Latn-AZ"/>
        </w:rPr>
        <w:t xml:space="preserve"> tariflərinin tənzimlənməsi barədə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 xml:space="preserve">Azərbaycan Respublikası Prezidentinin 2005-ci il 26 dekabr tarixli 341 nömrəli Fərmanı ilə təsdiq edilmiş “Azərbaycan Respublikasının Tarif (qiymət) Şurası haqqında </w:t>
      </w:r>
      <w:proofErr w:type="spellStart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Əsasnamə”yə</w:t>
      </w:r>
      <w:proofErr w:type="spellEnd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 xml:space="preserve"> və Azərbaycan Respublikası Nazirlər Kabinetinin 2005-ci il 30 dekabr tarixli 247 nömrəli Qərarı ilə təsdiq edilmiş “Dövlət tənzimlənməsi tətbiq olunan tariflərin (qiymətlərin) formalaşması və tətbiqi üzərində dövlət nəzarətinin təmin edilməsi </w:t>
      </w:r>
      <w:proofErr w:type="spellStart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Qaydaları”na</w:t>
      </w:r>
      <w:proofErr w:type="spellEnd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 xml:space="preserve"> uyğun olaraq, “</w:t>
      </w:r>
      <w:proofErr w:type="spellStart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Azərişıq</w:t>
      </w:r>
      <w:proofErr w:type="spellEnd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” Açıq Səhmdar Cəmiyyətinin və “</w:t>
      </w:r>
      <w:proofErr w:type="spellStart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Azərenerji</w:t>
      </w:r>
      <w:proofErr w:type="spellEnd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” Açıq Səhmdar Cəmiyyətinin müraciətlərini nəzərə alaraq Azərbaycan Respublikasının Tarif (qiymət) Şurası QƏRARA ALIR: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 xml:space="preserve">1. Elektrik enerjisinin </w:t>
      </w:r>
      <w:proofErr w:type="spellStart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ölkədaxili</w:t>
      </w:r>
      <w:proofErr w:type="spellEnd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 xml:space="preserve"> tarifləri təsdiq edilsin (</w:t>
      </w:r>
      <w:hyperlink r:id="rId4" w:tgtFrame="_blank" w:history="1">
        <w:r w:rsidRPr="00AB72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z-Latn-AZ"/>
          </w:rPr>
          <w:t>əlavə olunur</w:t>
        </w:r>
      </w:hyperlink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).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2. Nəzərə alınsın ki: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2.1. bu qərarın 1-ci hissəsi ilə təsdiq edilmiş əlavənin cədvəl bölməsinin 2-ci sətri ilə müəyyən edilmiş elektrik enerjisinin topdansatış tarifinə elektrik enerjisinin istehsalı və elektrik şəbəkələrinə ötürülməsi ilə bağlı bütün xərclər daxildir;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2.2. bu qərarın 1-ci hissəsi ilə təsdiq edilmiş əlavənin cədvəl bölməsinin 5.1-ci və 5.2-ci sətirləri ilə müəyyən edilmiş tariflərlə 2-ci sətri ilə müəyyən edilmiş topdansatış tarifi arasında yaranan fərq “</w:t>
      </w:r>
      <w:proofErr w:type="spellStart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Azərenerji</w:t>
      </w:r>
      <w:proofErr w:type="spellEnd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” ASC-</w:t>
      </w:r>
      <w:proofErr w:type="spellStart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nin</w:t>
      </w:r>
      <w:proofErr w:type="spellEnd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 xml:space="preserve"> maliyyə-təsərrüfat fəaliyyətinə aid edilir.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3. “</w:t>
      </w:r>
      <w:proofErr w:type="spellStart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Azərenerji</w:t>
      </w:r>
      <w:proofErr w:type="spellEnd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” ASC-</w:t>
      </w:r>
      <w:proofErr w:type="spellStart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nin</w:t>
      </w:r>
      <w:proofErr w:type="spellEnd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 xml:space="preserve"> istehsalı olan istilik enerjisinin topdansatış tarifi ƏDV daxil olmaqla 3 manat/</w:t>
      </w:r>
      <w:proofErr w:type="spellStart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Qkal</w:t>
      </w:r>
      <w:proofErr w:type="spellEnd"/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 xml:space="preserve"> səviyyəsində müəyyən edilsin.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4. Elektrik enerjisinin digər təsərrüfat subyektlərinə məxsus şəbəkə və ötürücü qurğular vasitəsi ilə tranzit ötürülməsi bu qərarın 1-ci hissəsi ilə təsdiq edilmiş əlavənin cədvəl bölməsinin 4-cü sətri ilə müəyyən edilmiş elektrik enerjisinin tranzit ötürülməsi tarifi ilə həyata keçirilsin.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5. Müəyyən edilsin ki, elektrik enerjisi tranzit ötürüldüyü təqdirdə, tranzit ötürülmə xərcləri bu qərarın 1-ci hissəsi ilə təsdiq edilmiş əlavənin cədvəl bölməsinin 5-ci sətrində nəzərdə tutulan hallarda 5.1-ci və 5.2-ci sətirlərlə müəyyən edilmiş tariflərə əlavə edilməklə istehlakçı, digər hallarda isə elektrik enerjisinin satışını həyata keçirən təsərrüfat subyekti tərəfindən ödənilir.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6. 2016-cı il iyul ayının 15-dək ölkə daxilində elektrik enerjisinin dəyəri bu qərardan əvvəl qüvvədə olmuş tariflərə uyğun olaraq hesablansın.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7. Azərbaycan Respublikası Tarif (qiymət) Şurasının aşağıdakı qərarları ləğv edilsin: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7.1. “Respublika ərazisində elektrik enerjisinin tariflərinin tənzimlənməsi barədə” Azərbaycan Respublikası Tarif (qiymət) Şurasının 2007-ci il 6 yanvar tarixli 3 nömrəli Qərarı;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7.2. “Respublika ərazisində elektrik enerjisinin tariflərinin tənzimlənməsi barədə” Azərbaycan Respublikası Tarif (qiymət) Şurasının 2007-ci il 6 yanvar tarixli 3 nömrəli qərarına əlavə və dəyişikliklər edilməsi barədə” Azərbaycan Respublikası Tarif (qiymət) Şurasının 2007-ci il 14 mart tarixli 11 nömrəli Qərarı;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7.3. “Respublika ərazisində elektrik enerjisinin tariflərinin tənzimlənməsi barədə” Azərbaycan Respublikası Tarif (qiymət) Şurasının 2007-cı il 06 yanvar tarixli 03 nömrəli qərarına əlavə və dəyişikliklərin edilməsi barədə” Azərbaycan Respublikası Tarif (qiymət) Şurasının 2008-ci il 30 aprel tarixli 1 nömrəli Qərarı.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8.   Bu qərar 15 iyul 2016-cı il tarixindən qüvvəyə minir.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Azərbaycan Respublikası</w:t>
      </w:r>
    </w:p>
    <w:p w:rsidR="00147F6B" w:rsidRPr="00147F6B" w:rsidRDefault="00147F6B" w:rsidP="00147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Tarif (qiymət) Şurasının sədri                     </w:t>
      </w:r>
      <w:r w:rsidRPr="00AB72CD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 </w:t>
      </w:r>
      <w:r w:rsidRPr="00147F6B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               Şahin Mustafayev</w:t>
      </w:r>
    </w:p>
    <w:p w:rsidR="00530B4C" w:rsidRPr="00AB72CD" w:rsidRDefault="00530B4C">
      <w:pPr>
        <w:rPr>
          <w:rFonts w:ascii="Times New Roman" w:hAnsi="Times New Roman" w:cs="Times New Roman"/>
          <w:sz w:val="24"/>
          <w:szCs w:val="24"/>
        </w:rPr>
      </w:pPr>
    </w:p>
    <w:p w:rsidR="00AB72CD" w:rsidRPr="00AB72CD" w:rsidRDefault="00AB72CD" w:rsidP="00AB72CD">
      <w:pPr>
        <w:pStyle w:val="BodyText"/>
        <w:spacing w:before="51"/>
        <w:ind w:left="4962" w:right="-709"/>
        <w:jc w:val="center"/>
        <w:rPr>
          <w:rFonts w:ascii="Times New Roman" w:hAnsi="Times New Roman" w:cs="Times New Roman"/>
          <w:i w:val="0"/>
          <w:sz w:val="24"/>
          <w:szCs w:val="24"/>
          <w:lang w:val="az-Latn-AZ"/>
        </w:rPr>
      </w:pPr>
      <w:r w:rsidRPr="00AB72CD">
        <w:rPr>
          <w:rFonts w:ascii="Times New Roman" w:hAnsi="Times New Roman" w:cs="Times New Roman"/>
          <w:spacing w:val="-1"/>
          <w:sz w:val="24"/>
          <w:szCs w:val="24"/>
          <w:lang w:val="az-Latn-AZ"/>
        </w:rPr>
        <w:t>Azərbaycan</w:t>
      </w:r>
      <w:r w:rsidRPr="00AB72C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B72CD">
        <w:rPr>
          <w:rFonts w:ascii="Times New Roman" w:hAnsi="Times New Roman" w:cs="Times New Roman"/>
          <w:spacing w:val="-1"/>
          <w:sz w:val="24"/>
          <w:szCs w:val="24"/>
          <w:lang w:val="az-Latn-AZ"/>
        </w:rPr>
        <w:t>Respublikası</w:t>
      </w:r>
      <w:r w:rsidRPr="00AB72CD">
        <w:rPr>
          <w:rFonts w:ascii="Times New Roman" w:hAnsi="Times New Roman" w:cs="Times New Roman"/>
          <w:spacing w:val="29"/>
          <w:sz w:val="24"/>
          <w:szCs w:val="24"/>
          <w:lang w:val="az-Latn-AZ"/>
        </w:rPr>
        <w:t xml:space="preserve"> </w:t>
      </w:r>
      <w:r w:rsidRPr="00AB72CD">
        <w:rPr>
          <w:rFonts w:ascii="Times New Roman" w:hAnsi="Times New Roman" w:cs="Times New Roman"/>
          <w:sz w:val="24"/>
          <w:szCs w:val="24"/>
          <w:lang w:val="az-Latn-AZ"/>
        </w:rPr>
        <w:t xml:space="preserve">Tarif </w:t>
      </w:r>
      <w:r w:rsidRPr="00AB72CD">
        <w:rPr>
          <w:rFonts w:ascii="Times New Roman" w:hAnsi="Times New Roman" w:cs="Times New Roman"/>
          <w:spacing w:val="-1"/>
          <w:sz w:val="24"/>
          <w:szCs w:val="24"/>
          <w:lang w:val="az-Latn-AZ"/>
        </w:rPr>
        <w:t>(qiymət)</w:t>
      </w:r>
      <w:r w:rsidRPr="00AB72C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B72CD">
        <w:rPr>
          <w:rFonts w:ascii="Times New Roman" w:hAnsi="Times New Roman" w:cs="Times New Roman"/>
          <w:spacing w:val="-1"/>
          <w:sz w:val="24"/>
          <w:szCs w:val="24"/>
          <w:lang w:val="az-Latn-AZ"/>
        </w:rPr>
        <w:t>Şurasının</w:t>
      </w:r>
      <w:r w:rsidRPr="00AB72CD">
        <w:rPr>
          <w:rFonts w:ascii="Times New Roman" w:hAnsi="Times New Roman" w:cs="Times New Roman"/>
          <w:spacing w:val="23"/>
          <w:sz w:val="24"/>
          <w:szCs w:val="24"/>
          <w:lang w:val="az-Latn-AZ"/>
        </w:rPr>
        <w:t xml:space="preserve"> </w:t>
      </w:r>
      <w:r w:rsidRPr="00AB72CD">
        <w:rPr>
          <w:rFonts w:ascii="Times New Roman" w:hAnsi="Times New Roman" w:cs="Times New Roman"/>
          <w:spacing w:val="-1"/>
          <w:sz w:val="24"/>
          <w:szCs w:val="24"/>
          <w:lang w:val="az-Latn-AZ"/>
        </w:rPr>
        <w:t>2016-cı</w:t>
      </w:r>
      <w:r w:rsidRPr="00AB72C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B72CD">
        <w:rPr>
          <w:rFonts w:ascii="Times New Roman" w:hAnsi="Times New Roman" w:cs="Times New Roman"/>
          <w:spacing w:val="-1"/>
          <w:sz w:val="24"/>
          <w:szCs w:val="24"/>
          <w:lang w:val="az-Latn-AZ"/>
        </w:rPr>
        <w:t>il</w:t>
      </w:r>
      <w:r w:rsidRPr="00AB72CD">
        <w:rPr>
          <w:rFonts w:ascii="Times New Roman" w:hAnsi="Times New Roman" w:cs="Times New Roman"/>
          <w:spacing w:val="1"/>
          <w:sz w:val="24"/>
          <w:szCs w:val="24"/>
          <w:lang w:val="az-Latn-AZ"/>
        </w:rPr>
        <w:t xml:space="preserve"> </w:t>
      </w:r>
      <w:r w:rsidRPr="00AB72CD">
        <w:rPr>
          <w:rFonts w:ascii="Times New Roman" w:hAnsi="Times New Roman" w:cs="Times New Roman"/>
          <w:sz w:val="24"/>
          <w:szCs w:val="24"/>
          <w:lang w:val="az-Latn-AZ"/>
        </w:rPr>
        <w:t>14</w:t>
      </w:r>
      <w:r w:rsidRPr="00AB72CD">
        <w:rPr>
          <w:rFonts w:ascii="Times New Roman" w:hAnsi="Times New Roman" w:cs="Times New Roman"/>
          <w:spacing w:val="-2"/>
          <w:sz w:val="24"/>
          <w:szCs w:val="24"/>
          <w:lang w:val="az-Latn-AZ"/>
        </w:rPr>
        <w:t xml:space="preserve"> </w:t>
      </w:r>
      <w:r w:rsidRPr="00AB72CD">
        <w:rPr>
          <w:rFonts w:ascii="Times New Roman" w:hAnsi="Times New Roman" w:cs="Times New Roman"/>
          <w:spacing w:val="-1"/>
          <w:sz w:val="24"/>
          <w:szCs w:val="24"/>
          <w:lang w:val="az-Latn-AZ"/>
        </w:rPr>
        <w:t>iyul</w:t>
      </w:r>
      <w:r w:rsidRPr="00AB72CD">
        <w:rPr>
          <w:rFonts w:ascii="Times New Roman" w:hAnsi="Times New Roman" w:cs="Times New Roman"/>
          <w:spacing w:val="1"/>
          <w:sz w:val="24"/>
          <w:szCs w:val="24"/>
          <w:lang w:val="az-Latn-AZ"/>
        </w:rPr>
        <w:t xml:space="preserve"> </w:t>
      </w:r>
      <w:r w:rsidRPr="00AB72CD">
        <w:rPr>
          <w:rFonts w:ascii="Times New Roman" w:hAnsi="Times New Roman" w:cs="Times New Roman"/>
          <w:spacing w:val="-1"/>
          <w:sz w:val="24"/>
          <w:szCs w:val="24"/>
          <w:lang w:val="az-Latn-AZ"/>
        </w:rPr>
        <w:t>tarixli</w:t>
      </w:r>
    </w:p>
    <w:p w:rsidR="00AB72CD" w:rsidRPr="00AB72CD" w:rsidRDefault="00AB72CD" w:rsidP="00AB72CD">
      <w:pPr>
        <w:pStyle w:val="BodyText"/>
        <w:ind w:left="4962" w:right="-709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B72CD">
        <w:rPr>
          <w:rFonts w:ascii="Times New Roman" w:hAnsi="Times New Roman" w:cs="Times New Roman"/>
          <w:sz w:val="24"/>
          <w:szCs w:val="24"/>
        </w:rPr>
        <w:t>11</w:t>
      </w:r>
      <w:r w:rsidRPr="00AB72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B72CD">
        <w:rPr>
          <w:rFonts w:ascii="Times New Roman" w:hAnsi="Times New Roman" w:cs="Times New Roman"/>
          <w:spacing w:val="-1"/>
          <w:sz w:val="24"/>
          <w:szCs w:val="24"/>
        </w:rPr>
        <w:t>nömrəli</w:t>
      </w:r>
      <w:proofErr w:type="spellEnd"/>
      <w:proofErr w:type="gramEnd"/>
      <w:r w:rsidRPr="00AB7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2CD">
        <w:rPr>
          <w:rFonts w:ascii="Times New Roman" w:hAnsi="Times New Roman" w:cs="Times New Roman"/>
          <w:spacing w:val="-1"/>
          <w:sz w:val="24"/>
          <w:szCs w:val="24"/>
        </w:rPr>
        <w:t>qərarı</w:t>
      </w:r>
      <w:proofErr w:type="spellEnd"/>
      <w:r w:rsidRPr="00AB72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B72CD">
        <w:rPr>
          <w:rFonts w:ascii="Times New Roman" w:hAnsi="Times New Roman" w:cs="Times New Roman"/>
          <w:sz w:val="24"/>
          <w:szCs w:val="24"/>
        </w:rPr>
        <w:t>ilə</w:t>
      </w:r>
      <w:proofErr w:type="spellEnd"/>
      <w:r w:rsidRPr="00AB72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AB72CD">
        <w:rPr>
          <w:rFonts w:ascii="Times New Roman" w:hAnsi="Times New Roman" w:cs="Times New Roman"/>
          <w:spacing w:val="-1"/>
          <w:sz w:val="24"/>
          <w:szCs w:val="24"/>
        </w:rPr>
        <w:t>təsdiq</w:t>
      </w:r>
      <w:proofErr w:type="spellEnd"/>
      <w:r w:rsidRPr="00AB72CD">
        <w:rPr>
          <w:rFonts w:ascii="Times New Roman" w:hAnsi="Times New Roman" w:cs="Times New Roman"/>
          <w:sz w:val="24"/>
          <w:szCs w:val="24"/>
        </w:rPr>
        <w:t xml:space="preserve"> </w:t>
      </w:r>
      <w:r w:rsidRPr="00AB72CD">
        <w:rPr>
          <w:rFonts w:ascii="Times New Roman" w:hAnsi="Times New Roman" w:cs="Times New Roman"/>
          <w:spacing w:val="-1"/>
          <w:sz w:val="24"/>
          <w:szCs w:val="24"/>
        </w:rPr>
        <w:t>edilmişdir</w:t>
      </w:r>
    </w:p>
    <w:p w:rsidR="00AB72CD" w:rsidRPr="00AB72CD" w:rsidRDefault="00AB72CD" w:rsidP="00AB72CD">
      <w:pPr>
        <w:spacing w:before="4" w:line="140" w:lineRule="exact"/>
        <w:rPr>
          <w:rFonts w:ascii="Times New Roman" w:hAnsi="Times New Roman" w:cs="Times New Roman"/>
          <w:sz w:val="24"/>
          <w:szCs w:val="24"/>
        </w:rPr>
      </w:pPr>
    </w:p>
    <w:p w:rsidR="00AB72CD" w:rsidRPr="00AB72CD" w:rsidRDefault="00AB72CD" w:rsidP="00AB72C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72CD" w:rsidRPr="00AB72CD" w:rsidRDefault="00AB72CD" w:rsidP="00AB72CD">
      <w:pPr>
        <w:spacing w:before="69"/>
        <w:ind w:left="2832"/>
        <w:rPr>
          <w:rFonts w:ascii="Times New Roman" w:eastAsia="Arial" w:hAnsi="Times New Roman" w:cs="Times New Roman"/>
          <w:sz w:val="24"/>
          <w:szCs w:val="24"/>
        </w:rPr>
      </w:pPr>
      <w:r w:rsidRPr="00AB72CD">
        <w:rPr>
          <w:rFonts w:ascii="Times New Roman" w:hAnsi="Times New Roman" w:cs="Times New Roman"/>
          <w:b/>
          <w:spacing w:val="-1"/>
          <w:sz w:val="24"/>
          <w:szCs w:val="24"/>
        </w:rPr>
        <w:t>Elektrik</w:t>
      </w:r>
      <w:r w:rsidRPr="00AB7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2CD">
        <w:rPr>
          <w:rFonts w:ascii="Times New Roman" w:hAnsi="Times New Roman" w:cs="Times New Roman"/>
          <w:b/>
          <w:spacing w:val="-1"/>
          <w:sz w:val="24"/>
          <w:szCs w:val="24"/>
        </w:rPr>
        <w:t>enerjisinin</w:t>
      </w:r>
      <w:r w:rsidRPr="00AB72C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AB72CD">
        <w:rPr>
          <w:rFonts w:ascii="Times New Roman" w:hAnsi="Times New Roman" w:cs="Times New Roman"/>
          <w:b/>
          <w:spacing w:val="-1"/>
          <w:sz w:val="24"/>
          <w:szCs w:val="24"/>
        </w:rPr>
        <w:t>ölkədaxili</w:t>
      </w:r>
      <w:proofErr w:type="spellEnd"/>
      <w:r w:rsidRPr="00AB72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B72CD">
        <w:rPr>
          <w:rFonts w:ascii="Times New Roman" w:hAnsi="Times New Roman" w:cs="Times New Roman"/>
          <w:b/>
          <w:spacing w:val="-1"/>
          <w:sz w:val="24"/>
          <w:szCs w:val="24"/>
        </w:rPr>
        <w:t>tarifləri</w:t>
      </w:r>
    </w:p>
    <w:p w:rsidR="00AB72CD" w:rsidRPr="00AB72CD" w:rsidRDefault="00AB72CD" w:rsidP="00AB72CD">
      <w:pPr>
        <w:spacing w:before="11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2483"/>
        <w:gridCol w:w="693"/>
        <w:gridCol w:w="3498"/>
        <w:gridCol w:w="2268"/>
      </w:tblGrid>
      <w:tr w:rsidR="00AB72CD" w:rsidRPr="00AB72CD" w:rsidTr="009D4A23">
        <w:trPr>
          <w:trHeight w:hRule="exact" w:val="63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179"/>
              <w:ind w:left="2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179"/>
              <w:ind w:left="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72C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Xidmətlərin</w:t>
            </w:r>
            <w:proofErr w:type="spellEnd"/>
            <w:r w:rsidRPr="00AB7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2"/>
              <w:ind w:left="100" w:right="9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72C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Tariflər</w:t>
            </w:r>
            <w:proofErr w:type="spellEnd"/>
          </w:p>
          <w:p w:rsidR="00AB72CD" w:rsidRPr="00AB72CD" w:rsidRDefault="00AB72CD" w:rsidP="009D4A23">
            <w:pPr>
              <w:pStyle w:val="TableParagraph"/>
              <w:spacing w:before="44"/>
              <w:ind w:left="100" w:right="10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(ƏDV</w:t>
            </w: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ilə</w:t>
            </w:r>
            <w:proofErr w:type="spellEnd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qəpik</w:t>
            </w:r>
            <w:proofErr w:type="spellEnd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kVts</w:t>
            </w:r>
            <w:proofErr w:type="spellEnd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</w:tr>
      <w:tr w:rsidR="00AB72CD" w:rsidRPr="00AB72CD" w:rsidTr="009D4A23">
        <w:trPr>
          <w:trHeight w:hRule="exact" w:val="343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2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2"/>
              <w:ind w:left="9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II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2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III</w:t>
            </w:r>
          </w:p>
        </w:tc>
      </w:tr>
      <w:tr w:rsidR="00AB72CD" w:rsidRPr="00AB72CD" w:rsidTr="009D4A23">
        <w:trPr>
          <w:trHeight w:hRule="exact" w:val="343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230" w:right="23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İstehsalçıdan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satınalma</w:t>
            </w:r>
            <w:proofErr w:type="spellEnd"/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CD" w:rsidRPr="00AB72CD" w:rsidTr="009D4A23">
        <w:trPr>
          <w:trHeight w:hRule="exact" w:val="343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Özəl</w:t>
            </w:r>
            <w:proofErr w:type="spellEnd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kiçik</w:t>
            </w:r>
            <w:proofErr w:type="spellEnd"/>
            <w:r w:rsidRPr="00AB7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elektrik</w:t>
            </w:r>
            <w:proofErr w:type="spellEnd"/>
            <w:r w:rsidRPr="00AB7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stansiyaları</w:t>
            </w:r>
            <w:proofErr w:type="spellEnd"/>
            <w:r w:rsidRPr="00AB72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üzrə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0" w:right="9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B72CD" w:rsidRPr="00AB72CD" w:rsidTr="009D4A23">
        <w:trPr>
          <w:trHeight w:hRule="exact" w:val="343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Külək</w:t>
            </w:r>
            <w:proofErr w:type="spellEnd"/>
            <w:r w:rsidRPr="00AB72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elektrik</w:t>
            </w:r>
            <w:proofErr w:type="spellEnd"/>
            <w:r w:rsidRPr="00AB72C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stansiyaları</w:t>
            </w:r>
            <w:proofErr w:type="spellEnd"/>
            <w:r w:rsidRPr="00AB72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üzrə</w:t>
            </w:r>
            <w:proofErr w:type="spellEnd"/>
          </w:p>
        </w:tc>
        <w:tc>
          <w:tcPr>
            <w:tcW w:w="34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0" w:right="9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B72CD" w:rsidRPr="00AB72CD" w:rsidTr="009D4A23">
        <w:trPr>
          <w:trHeight w:hRule="exact" w:val="34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230" w:right="23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</w:p>
        </w:tc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Topdansatış</w:t>
            </w:r>
            <w:proofErr w:type="spellEnd"/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0" w:right="9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B72CD" w:rsidRPr="00AB72CD" w:rsidTr="009D4A23">
        <w:trPr>
          <w:trHeight w:hRule="exact" w:val="343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230" w:right="23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</w:p>
        </w:tc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Pərakəndə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satış</w:t>
            </w:r>
            <w:proofErr w:type="spellEnd"/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0" w:right="9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B72CD" w:rsidRPr="00AB72CD" w:rsidTr="009D4A23">
        <w:trPr>
          <w:trHeight w:hRule="exact" w:val="343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230" w:right="23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</w:p>
        </w:tc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Tranzit</w:t>
            </w:r>
            <w:proofErr w:type="spellEnd"/>
            <w:r w:rsidRPr="00AB72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ötürülmə</w:t>
            </w:r>
            <w:proofErr w:type="spellEnd"/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0" w:right="9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2CD" w:rsidRPr="00AB72CD" w:rsidTr="009D4A23">
        <w:trPr>
          <w:trHeight w:hRule="exact" w:val="135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2CD" w:rsidRPr="00AB72CD" w:rsidRDefault="00AB72CD" w:rsidP="009D4A23">
            <w:pPr>
              <w:pStyle w:val="TableParagraph"/>
              <w:spacing w:before="19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2CD" w:rsidRPr="00AB72CD" w:rsidRDefault="00AB72CD" w:rsidP="009D4A23">
            <w:pPr>
              <w:pStyle w:val="TableParagraph"/>
              <w:ind w:left="230" w:right="23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</w:t>
            </w:r>
          </w:p>
        </w:tc>
        <w:tc>
          <w:tcPr>
            <w:tcW w:w="6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7"/>
              <w:ind w:left="102" w:right="23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Enerji</w:t>
            </w:r>
            <w:proofErr w:type="spellEnd"/>
            <w:r w:rsidRPr="00AB72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təchizatı</w:t>
            </w:r>
            <w:proofErr w:type="spellEnd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birbaşa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və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kilovoltluq</w:t>
            </w:r>
            <w:proofErr w:type="spellEnd"/>
            <w:r w:rsidRPr="00AB72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xətlərlə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həyata</w:t>
            </w:r>
            <w:proofErr w:type="spellEnd"/>
            <w:r w:rsidRPr="00AB72CD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keçirilən</w:t>
            </w:r>
            <w:proofErr w:type="spellEnd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B72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ərzində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yük</w:t>
            </w:r>
            <w:proofErr w:type="spellEnd"/>
            <w:r w:rsidRPr="00AB72C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tələbatı</w:t>
            </w:r>
            <w:proofErr w:type="spellEnd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stabil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olan</w:t>
            </w:r>
            <w:proofErr w:type="spellEnd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istehsal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məqsədləri</w:t>
            </w:r>
            <w:proofErr w:type="spellEnd"/>
            <w:r w:rsidRPr="00AB72CD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üçün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orta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aylıq</w:t>
            </w:r>
            <w:proofErr w:type="spellEnd"/>
            <w:r w:rsidRPr="00AB72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enerji</w:t>
            </w:r>
            <w:proofErr w:type="spellEnd"/>
            <w:r w:rsidRPr="00AB72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istehlakı</w:t>
            </w:r>
            <w:proofErr w:type="spellEnd"/>
            <w:r w:rsidRPr="00AB72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milyon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kilovat-saatdan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AB72CD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olmayan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kimya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və</w:t>
            </w:r>
            <w:proofErr w:type="spellEnd"/>
            <w:r w:rsidRPr="00AB72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alüminium</w:t>
            </w:r>
            <w:proofErr w:type="spellEnd"/>
            <w:r w:rsidRPr="00AB72C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sənayesi</w:t>
            </w:r>
            <w:proofErr w:type="spellEnd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müəssisələri</w:t>
            </w:r>
            <w:proofErr w:type="spellEnd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B72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dağ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mədən</w:t>
            </w:r>
            <w:proofErr w:type="spellEnd"/>
            <w:r w:rsidRPr="00AB72C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filizi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əsasında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polad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əritmə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istehsalı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CD" w:rsidRPr="00AB72CD" w:rsidTr="009D4A23">
        <w:trPr>
          <w:trHeight w:hRule="exact" w:val="343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Gündüz</w:t>
            </w:r>
            <w:proofErr w:type="spellEnd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vaxtı</w:t>
            </w:r>
            <w:proofErr w:type="spellEnd"/>
            <w:r w:rsidRPr="00AB72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saat</w:t>
            </w:r>
            <w:proofErr w:type="spellEnd"/>
            <w:r w:rsidRPr="00AB72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08.00-dan</w:t>
            </w: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22.00-a</w:t>
            </w:r>
            <w:r w:rsidRPr="00AB72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qədər</w:t>
            </w:r>
            <w:proofErr w:type="spellEnd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0" w:right="9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B72CD" w:rsidRPr="00AB72CD" w:rsidTr="009D4A23">
        <w:trPr>
          <w:trHeight w:hRule="exact" w:val="343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Gecə</w:t>
            </w:r>
            <w:proofErr w:type="spellEnd"/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vaxtı</w:t>
            </w:r>
            <w:proofErr w:type="spellEnd"/>
            <w:r w:rsidRPr="00AB72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saat</w:t>
            </w:r>
            <w:proofErr w:type="spellEnd"/>
            <w:r w:rsidRPr="00AB72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22.00-dan</w:t>
            </w: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08.00-a</w:t>
            </w:r>
            <w:r w:rsidRPr="00AB7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qədər</w:t>
            </w:r>
            <w:proofErr w:type="spellEnd"/>
            <w:r w:rsidRPr="00AB72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2CD" w:rsidRPr="00AB72CD" w:rsidRDefault="00AB72CD" w:rsidP="009D4A23">
            <w:pPr>
              <w:pStyle w:val="TableParagraph"/>
              <w:spacing w:before="35"/>
              <w:ind w:left="100" w:right="9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72C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AB72CD" w:rsidRPr="00AB72CD" w:rsidRDefault="00AB72CD" w:rsidP="00AB72CD">
      <w:pPr>
        <w:rPr>
          <w:rFonts w:ascii="Times New Roman" w:hAnsi="Times New Roman" w:cs="Times New Roman"/>
          <w:sz w:val="24"/>
          <w:szCs w:val="24"/>
        </w:rPr>
      </w:pPr>
    </w:p>
    <w:p w:rsidR="00AB72CD" w:rsidRPr="00AB72CD" w:rsidRDefault="00AB72CD" w:rsidP="00AB72CD">
      <w:pPr>
        <w:rPr>
          <w:rFonts w:ascii="Times New Roman" w:hAnsi="Times New Roman" w:cs="Times New Roman"/>
          <w:sz w:val="24"/>
          <w:szCs w:val="24"/>
        </w:rPr>
      </w:pPr>
    </w:p>
    <w:sectPr w:rsidR="00AB72CD" w:rsidRPr="00A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6B"/>
    <w:rsid w:val="00147F6B"/>
    <w:rsid w:val="00530B4C"/>
    <w:rsid w:val="00A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F61E5-0E99-44C8-9297-94F9825B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7F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7F6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47F6B"/>
  </w:style>
  <w:style w:type="paragraph" w:styleId="BodyText">
    <w:name w:val="Body Text"/>
    <w:basedOn w:val="Normal"/>
    <w:link w:val="BodyTextChar"/>
    <w:uiPriority w:val="1"/>
    <w:qFormat/>
    <w:rsid w:val="00AB72CD"/>
    <w:pPr>
      <w:widowControl w:val="0"/>
      <w:spacing w:after="0" w:line="240" w:lineRule="auto"/>
      <w:ind w:left="7304"/>
    </w:pPr>
    <w:rPr>
      <w:rFonts w:ascii="Arial" w:eastAsia="Arial" w:hAnsi="Arial"/>
      <w:i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B72CD"/>
    <w:rPr>
      <w:rFonts w:ascii="Arial" w:eastAsia="Arial" w:hAnsi="Arial"/>
      <w:i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AB72CD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riffcouncil.gov.az/documents/EE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2775</Words>
  <Characters>1582</Characters>
  <Application>Microsoft Office Word</Application>
  <DocSecurity>0</DocSecurity>
  <Lines>13</Lines>
  <Paragraphs>8</Paragraphs>
  <ScaleCrop>false</ScaleCrop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2016-07-14T18:26:00Z</dcterms:created>
  <dcterms:modified xsi:type="dcterms:W3CDTF">2016-07-14T18:28:00Z</dcterms:modified>
</cp:coreProperties>
</file>