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color w:val="3B3939"/>
          <w:sz w:val="21"/>
          <w:szCs w:val="21"/>
        </w:rPr>
        <w:t>«TƏSDİQ EDİRƏM»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“________________”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sədri</w:t>
      </w:r>
      <w:proofErr w:type="spellEnd"/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 «____»___________ 20__-ci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  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Style w:val="Strong"/>
          <w:rFonts w:ascii="Helvetica" w:hAnsi="Helvetica" w:cs="Helvetica"/>
          <w:color w:val="3B3939"/>
          <w:sz w:val="21"/>
          <w:szCs w:val="21"/>
        </w:rPr>
        <w:t>“________________” ASC-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baş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mühasibin</w:t>
      </w:r>
      <w:proofErr w:type="spellEnd"/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Style w:val="Strong"/>
          <w:rFonts w:ascii="Helvetica" w:hAnsi="Helvetica" w:cs="Helvetica"/>
          <w:color w:val="3B3939"/>
          <w:sz w:val="21"/>
          <w:szCs w:val="21"/>
        </w:rPr>
        <w:t>VƏZİFƏ TƏLİMATI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1.       ÜMUMİ MÜDDƏALAR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1.1.           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Mühasibatlığın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sədri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azad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1.2.            “________________”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Mühasibatlığın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surətdə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»,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Mühasibatlıq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adlandırılırlar)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bilavasitə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sədrinə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tabedir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1.3.           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əmrlərini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sərəncamlarını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əsasnamələrini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mövcud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1.4.           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xüsusi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təhsilli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mühasibatlıq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maliyyə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başqa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5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beş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olmayaraq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stajına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2.       VƏZİFƏLƏR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məqsəd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hədəfləri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istiqamətində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çalışmalıdır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2.2.           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nizam-intizam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riayət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etməlidir</w:t>
      </w:r>
      <w:proofErr w:type="spellEnd"/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 xml:space="preserve">2.3.           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maliyyə-təsərrüfat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uçotu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əks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2.4.           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həyata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maliyyə-təsərrüfat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əməliyyatlarının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uçotunda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düzgün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əks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etdirilməsini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mühasibat-maliyyə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hesabatlarının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edilməsini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   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2.5.           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Daxil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çıxan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vəsaitinin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uçotunu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uçotu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hesablarında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hərəkətini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istehsal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dövriyyəsini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xərclərini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xərclər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smetasının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hazırlanmasını,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məhsulun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satışını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yetirilməsini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maliyyə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əməliyyatlarının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uçotunu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2.6.           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Məhsulun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hesabatının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iqtisadi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cəhətdən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əsaslandırılmış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dövlət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büdcəsinə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məcburi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ödəmələri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dövlət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sosial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sığorta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fonduna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ayırmaları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ayırmaları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2.7.           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İlkin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hesablaşmaların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öhdəliklərinin hazırlanmasına,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fondunun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sərf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olunmasının,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əmtəə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mal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qiymətlilərinin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fondların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inventarizasiyasının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aparılmasına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2.8.           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Maliyyə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nizamına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ciddi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edilməsini,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inzibati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təsərrüfat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xərclərin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debitor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çatışmazlıqlarının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uçotunda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düzgün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əks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etdirilməsini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2.9.           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Banklara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ssudalar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ərzində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2.10.       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gələn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mal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deklarasiyalarının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yoxlanılıb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kompüter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proqramına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daxil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olunmasına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2.11.       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Müştərilərdən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köçürmə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firmanın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daxil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ödəmələrin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kompüter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proqramına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daxil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edilərək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gündəlik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bank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qalığının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yoxlanılmasına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2.12.       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aparılarkən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köçürmə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ərizələrinin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sifarişlərinin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düzgün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hazırlanmasına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2.13.       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əlaqədar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əməliyyatların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görülməsi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işəgötürənə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vurduğu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ziyana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tam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daşıyır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2.14.       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dövriyyəsinin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reallaşdırılmasını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imzalanmasını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etməlidir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2.15.       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əlaqədar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strukturlarla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əlaqələndirməni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etməlidir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2.16.       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qorunmasını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kommersiya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sirrinin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saxlanmasını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etməlidir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2.17.       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Tabeçiliyində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işçilərin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firmanın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strukturu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idarəetmə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prinsiplərinə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subordinasiya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etika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qaydalarına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riayət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etməlidir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2.18.       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mühafizəsi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əmək-nizam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intizamı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yanğından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mühafizə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normaları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təhlükəsizlik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sanitar-gigeniya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mülkü-müdafiə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riayət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olunmasını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etməlidir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 xml:space="preserve">2.19.       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Mühasibatlıq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arxivləşdirməni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etməlidir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2.20.       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həvəslə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yanaşmalı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yaradıcı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enerjili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intizamlı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təşkilatçılıq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kommunikabellilik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nümayiş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etdirməli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peşəsi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biliklər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təcrübələr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toplamalı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sosial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təşkilati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fərdi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psixoloji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ovqatı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qavramağı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bacarmalıdır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3.       HÜQUQLARI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3.1.           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Mühasibatlığın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əlaqədar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hansı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məsələnin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həlli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çağırılan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müşavirədə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yığıncaqda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o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cümlədən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iclaslarda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da,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dəvət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orqanın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üzvü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iştirak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3.2.           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quruluş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bölmələrindən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mühasibatlığın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zəruri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materialların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edilməsini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3.3.           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Mühasibatlıq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işçilərinin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işə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çıxarılması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keçirmələri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intizam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cəlb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təkliflər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rəylər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3.4.           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əlaqədar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təkmilləşdirilməsi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təkliflər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irəli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3.5.           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Keyfiyyət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səmərəlik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daxili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kənar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xərclər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heyətin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inkişafına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siyasət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planların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hazırlanmasını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tətbiq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edilməsini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3.6.           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təlimatlara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kargüzarlıq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proseduralarına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uyğun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hazırlanmamış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reallaşdırmamaq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3.7.           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yetirilməsini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rəhbərlikdən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3.8.           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edərkən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lazım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4.       MƏSULİYYƏT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4.1.           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düşən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keyfiyyətlə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yetirilməsinə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daşıyır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4.2.           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təqsiri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üzündən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vurulan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mənəvi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ziyana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daşıyır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Tanış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olmuşdur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»: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> </w:t>
      </w:r>
    </w:p>
    <w:p w:rsidR="007014DE" w:rsidRDefault="007014DE" w:rsidP="007014DE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                                                ____________________________     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DE"/>
    <w:rsid w:val="007014DE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3B3C6-2947-4A1C-A481-E260A2CB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1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2015-10-02T06:53:00Z</dcterms:created>
  <dcterms:modified xsi:type="dcterms:W3CDTF">2015-10-02T06:53:00Z</dcterms:modified>
</cp:coreProperties>
</file>