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D8C" w:rsidRPr="00B46D8C" w:rsidRDefault="00B46D8C" w:rsidP="00B46D8C">
      <w:pPr>
        <w:widowControl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AZƏRBAYCAN RESPUBLİKASININ TARİF (QİYMƏT) ŞURASI</w:t>
      </w:r>
    </w:p>
    <w:p w:rsidR="00B46D8C" w:rsidRPr="00B46D8C" w:rsidRDefault="00B46D8C" w:rsidP="00B46D8C">
      <w:pPr>
        <w:widowControl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46D8C" w:rsidRPr="00B46D8C" w:rsidRDefault="00B46D8C" w:rsidP="00B46D8C">
      <w:pPr>
        <w:widowControl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QƏRAR № 17</w:t>
      </w:r>
    </w:p>
    <w:p w:rsidR="00B46D8C" w:rsidRPr="00B46D8C" w:rsidRDefault="00B46D8C" w:rsidP="00B46D8C">
      <w:pPr>
        <w:widowControl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46D8C" w:rsidRPr="00B46D8C" w:rsidRDefault="00B46D8C" w:rsidP="00B46D8C">
      <w:pPr>
        <w:widowControl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Bakı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şəhəri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28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noyabr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2016-cı </w:t>
      </w:r>
      <w:proofErr w:type="spellStart"/>
      <w:proofErr w:type="gram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proofErr w:type="gramEnd"/>
    </w:p>
    <w:p w:rsidR="00B46D8C" w:rsidRPr="00B46D8C" w:rsidRDefault="00B46D8C" w:rsidP="00B46D8C">
      <w:pPr>
        <w:widowControl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46D8C" w:rsidRPr="00B46D8C" w:rsidRDefault="00B46D8C" w:rsidP="00B46D8C">
      <w:pPr>
        <w:widowControl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0" w:name="_GoBack"/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Elektrik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enerjisinin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ölkədaxili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tariflərinin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tənzimlənməsi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barədə</w:t>
      </w:r>
      <w:proofErr w:type="spellEnd"/>
    </w:p>
    <w:bookmarkEnd w:id="0"/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proofErr w:type="gram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Prezidentinin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2005-ci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26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dekabr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tarixli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341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nömrəli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Fərmanı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təsdiq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edilmiş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Tarif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qiymət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Şurası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haqqında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Əsasnamə”yə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Nazirlər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Kabinetinin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2005-ci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dekabr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tarixli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247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nömrəli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Qərarı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təsdiq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edilmiş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Dövlət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tənzimlənməsi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tətbiq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olunan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tariflərin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qiymətlərin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formalaşması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tətbiqi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üzərində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dövlət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nəzarətinin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təmin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edilməsi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Qaydaları”na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uyğun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olaraq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Alternativ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Bərpa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Olunan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Enerji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Mənbələri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üzrə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Dövlət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Agentliyinin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, “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Azərişıq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Açıq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Səhmdar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Cəmiyyətinin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Azərenerji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Açıq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Səhmdar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Cəmiyyətinin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müraciətlərini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nəzərə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alaraq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Tarif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qiymət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Şurası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 QƏRARA ALIR:</w:t>
      </w:r>
      <w:proofErr w:type="gramEnd"/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Elektrik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enerjisinin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ölkədaxili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tarifləri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təsdiq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edilsin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əlavə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olunur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Nəzərə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alınsın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ki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2.1. </w:t>
      </w:r>
      <w:proofErr w:type="spellStart"/>
      <w:proofErr w:type="gram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proofErr w:type="gram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qərarın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1-ci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hissəsi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təsdiq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edilmiş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əlavənin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cədvəl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bölməsinin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2-ci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sətri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edilmiş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tarifə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elektrik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enerjisinin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istehsalı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elektrik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şəbəkələrinə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ötürülməsi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bağlı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bütün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xərclər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daxildir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2.2. </w:t>
      </w:r>
      <w:proofErr w:type="spellStart"/>
      <w:proofErr w:type="gram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həmin</w:t>
      </w:r>
      <w:proofErr w:type="spellEnd"/>
      <w:proofErr w:type="gram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əlavənin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cədvəl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bölməsinin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2.1.1-ci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2.1.2-ci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sətirləri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edilmiş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tariflərlə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2-ci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sətri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edilmiş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topdansatış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tarifi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arasında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yaranan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fərq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Azərenerji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” ASC-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maliyyə-təsərrüfat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fəaliyyətinə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aid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edilir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2.3. </w:t>
      </w:r>
      <w:proofErr w:type="spellStart"/>
      <w:proofErr w:type="gram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elektrik</w:t>
      </w:r>
      <w:proofErr w:type="spellEnd"/>
      <w:proofErr w:type="gram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enerjisinin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digər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təsərrüfat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subyektlərinə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məxsus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şəbəkə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ötürücü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qurğular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vasitəsi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tranzit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ötürülməsi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həmin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əlavənin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cədvəl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bölməsinin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3-cü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sətri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edilmiş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elektrik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enerjisinin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tranzit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ötürülməsi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tarifi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həyata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keçirilir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2.4. </w:t>
      </w:r>
      <w:proofErr w:type="spellStart"/>
      <w:proofErr w:type="gram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elektrik</w:t>
      </w:r>
      <w:proofErr w:type="spellEnd"/>
      <w:proofErr w:type="gram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enerjisi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tranzit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ötürüldüyü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təqdirdə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tranzit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ötürülmə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xərcləri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həmin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əlavənin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cədvəl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bölməsinin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2.1-ci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sətrində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nəzərdə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tutulan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hallarda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2.1.1-ci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2.1.2-ci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sətirlərlə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edilmiş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tariflərə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əlavə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edilməklə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istehlakçı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digər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hallarda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isə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elektrik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enerjisinin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satışını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həyata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keçirən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təsərrüfat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subyekti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tərəfindən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ödənilir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2.5. </w:t>
      </w:r>
      <w:proofErr w:type="spellStart"/>
      <w:proofErr w:type="gram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həmin</w:t>
      </w:r>
      <w:proofErr w:type="spellEnd"/>
      <w:proofErr w:type="gram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əlavənin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cədvəl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bölməsinin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4.1.1-ci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4.1.2-ci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sətirlərində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aylıq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istehlak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həcmi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dedikdə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elektrik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enerjisinin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ardıcıl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30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təqvim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günü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ərzindəki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istehlak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həcmi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nəzərdə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tutulur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2.6. </w:t>
      </w:r>
      <w:proofErr w:type="spellStart"/>
      <w:proofErr w:type="gram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proofErr w:type="gram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qərarın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məqsədləri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üçün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əhali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istehlakçı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qrupu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dedikdə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elektrik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enerjisini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şəxsi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tələbatını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ödəmək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məqsədi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istifadə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edən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məişət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abonentləri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başa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düşülür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3. “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Azərenerji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” ASC-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istehsalı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olan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istilik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enerjisinin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Azəristiliktəchizat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” ASC-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yə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topdansatış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tarifi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ƏDV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daxil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olmaqla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3 manat/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Qkal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digərlərinə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isə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40 manat/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Qkal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səviyyəsində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müəyyən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edilsin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2016-cı </w:t>
      </w:r>
      <w:proofErr w:type="spellStart"/>
      <w:proofErr w:type="gram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proofErr w:type="gram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dekabr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tarixinədək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ölkə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daxilində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elektrik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enerjisinin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dəyəri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bu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qərardan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əvvəl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qüvvədə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olmuş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tariflərə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uyğun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olaraq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hesablansın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5. “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Azərenerji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” ASC-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yə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“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Azərişıq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” ASC-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yə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tapşırılsın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ki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elektrik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enerjisi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üzrə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itkilərin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azaldılması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istiqamətində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müvafiq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tədbirlər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görsünlər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və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2017-2019-cu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illər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üzrə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itkilərin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azaldılması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ilə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bağlı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qrafiki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Respublikasının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Tarif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qiymət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Şurasına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təqdim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etsinlər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6. “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Elektrik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enerjisinin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ölkədaxili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tariflərinin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tənzimlənməsi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barədə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Azərbaycan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Respublikası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Tarif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qiymət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Şurasının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2016-cı </w:t>
      </w:r>
      <w:proofErr w:type="spellStart"/>
      <w:proofErr w:type="gram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proofErr w:type="gram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14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iyul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tarixli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11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nömrəli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Qərarı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ləğv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edilsin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B46D8C" w:rsidRPr="00B46D8C" w:rsidRDefault="00B46D8C" w:rsidP="00B46D8C">
      <w:pPr>
        <w:widowControl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7. Bu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qərar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2016-cı </w:t>
      </w:r>
      <w:proofErr w:type="spellStart"/>
      <w:proofErr w:type="gram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il</w:t>
      </w:r>
      <w:proofErr w:type="spellEnd"/>
      <w:proofErr w:type="gram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dekabr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tarixindən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qüvvəyə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minir</w:t>
      </w:r>
      <w:proofErr w:type="spellEnd"/>
      <w:r w:rsidRPr="00B46D8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46D8C" w:rsidRDefault="00B46D8C">
      <w:pPr>
        <w:pStyle w:val="BodyText"/>
        <w:ind w:right="578"/>
        <w:jc w:val="center"/>
        <w:rPr>
          <w:spacing w:val="-1"/>
        </w:rPr>
      </w:pPr>
    </w:p>
    <w:p w:rsidR="00B46D8C" w:rsidRDefault="00B46D8C">
      <w:pPr>
        <w:pStyle w:val="BodyText"/>
        <w:ind w:right="578"/>
        <w:jc w:val="center"/>
        <w:rPr>
          <w:spacing w:val="-1"/>
        </w:rPr>
      </w:pPr>
    </w:p>
    <w:p w:rsidR="00022EE4" w:rsidRDefault="00493EB0">
      <w:pPr>
        <w:pStyle w:val="BodyText"/>
        <w:ind w:right="578"/>
        <w:jc w:val="center"/>
        <w:rPr>
          <w:i w:val="0"/>
        </w:rPr>
      </w:pPr>
      <w:proofErr w:type="spellStart"/>
      <w:r>
        <w:rPr>
          <w:spacing w:val="-1"/>
        </w:rPr>
        <w:t>Az</w:t>
      </w:r>
      <w:r>
        <w:rPr>
          <w:spacing w:val="-1"/>
        </w:rPr>
        <w:t>ə</w:t>
      </w:r>
      <w:r>
        <w:rPr>
          <w:spacing w:val="-1"/>
        </w:rPr>
        <w:t>rbaycan</w:t>
      </w:r>
      <w:proofErr w:type="spellEnd"/>
      <w:r>
        <w:t xml:space="preserve"> </w:t>
      </w:r>
      <w:proofErr w:type="spellStart"/>
      <w:r>
        <w:rPr>
          <w:spacing w:val="-1"/>
        </w:rPr>
        <w:t>Respublikası</w:t>
      </w:r>
      <w:proofErr w:type="spellEnd"/>
      <w:r>
        <w:rPr>
          <w:spacing w:val="29"/>
        </w:rPr>
        <w:t xml:space="preserve"> </w:t>
      </w:r>
      <w:proofErr w:type="spellStart"/>
      <w:r>
        <w:t>Tarif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qiym</w:t>
      </w:r>
      <w:r>
        <w:rPr>
          <w:spacing w:val="-1"/>
        </w:rPr>
        <w:t>ə</w:t>
      </w:r>
      <w:r>
        <w:rPr>
          <w:spacing w:val="-1"/>
        </w:rPr>
        <w:t>t</w:t>
      </w:r>
      <w:proofErr w:type="spellEnd"/>
      <w:r>
        <w:rPr>
          <w:spacing w:val="-1"/>
        </w:rPr>
        <w:t>)</w:t>
      </w:r>
      <w:r>
        <w:t xml:space="preserve"> </w:t>
      </w:r>
      <w:proofErr w:type="spellStart"/>
      <w:r>
        <w:rPr>
          <w:spacing w:val="-1"/>
        </w:rPr>
        <w:t>Şurasının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2016-</w:t>
      </w:r>
      <w:r>
        <w:rPr>
          <w:spacing w:val="-1"/>
        </w:rPr>
        <w:t>cı</w:t>
      </w:r>
      <w:r>
        <w:t xml:space="preserve"> </w:t>
      </w:r>
      <w:proofErr w:type="spellStart"/>
      <w:proofErr w:type="gramStart"/>
      <w:r>
        <w:rPr>
          <w:spacing w:val="-1"/>
        </w:rPr>
        <w:t>il</w:t>
      </w:r>
      <w:proofErr w:type="spellEnd"/>
      <w:proofErr w:type="gramEnd"/>
      <w:r>
        <w:rPr>
          <w:spacing w:val="1"/>
        </w:rPr>
        <w:t xml:space="preserve"> </w:t>
      </w:r>
      <w:r>
        <w:t>28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noyabr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tarixli</w:t>
      </w:r>
      <w:proofErr w:type="spellEnd"/>
      <w:r>
        <w:rPr>
          <w:spacing w:val="33"/>
        </w:rPr>
        <w:t xml:space="preserve"> </w:t>
      </w:r>
      <w:r>
        <w:t>17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nömr</w:t>
      </w:r>
      <w:r>
        <w:rPr>
          <w:spacing w:val="-1"/>
        </w:rPr>
        <w:t>ə</w:t>
      </w:r>
      <w:r>
        <w:rPr>
          <w:spacing w:val="-1"/>
        </w:rPr>
        <w:t>li</w:t>
      </w:r>
      <w:proofErr w:type="spellEnd"/>
      <w:r>
        <w:t xml:space="preserve"> </w:t>
      </w:r>
      <w:proofErr w:type="spellStart"/>
      <w:r>
        <w:rPr>
          <w:spacing w:val="-1"/>
        </w:rPr>
        <w:t>q</w:t>
      </w:r>
      <w:r>
        <w:rPr>
          <w:spacing w:val="-1"/>
        </w:rPr>
        <w:t>ə</w:t>
      </w:r>
      <w:r>
        <w:rPr>
          <w:spacing w:val="-1"/>
        </w:rPr>
        <w:t>rarı</w:t>
      </w:r>
      <w:proofErr w:type="spellEnd"/>
      <w:r>
        <w:rPr>
          <w:spacing w:val="-2"/>
        </w:rPr>
        <w:t xml:space="preserve"> </w:t>
      </w:r>
      <w:proofErr w:type="spellStart"/>
      <w:r>
        <w:t>il</w:t>
      </w:r>
      <w:r>
        <w:t>ə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t</w:t>
      </w:r>
      <w:r>
        <w:rPr>
          <w:spacing w:val="-1"/>
        </w:rPr>
        <w:t>ə</w:t>
      </w:r>
      <w:r>
        <w:rPr>
          <w:spacing w:val="-1"/>
        </w:rPr>
        <w:t>sdiq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edilmişdir</w:t>
      </w:r>
    </w:p>
    <w:p w:rsidR="00022EE4" w:rsidRDefault="00022EE4">
      <w:pPr>
        <w:spacing w:before="2" w:line="110" w:lineRule="exact"/>
        <w:rPr>
          <w:sz w:val="11"/>
          <w:szCs w:val="11"/>
        </w:rPr>
      </w:pPr>
    </w:p>
    <w:p w:rsidR="00022EE4" w:rsidRDefault="00022EE4">
      <w:pPr>
        <w:spacing w:line="200" w:lineRule="exact"/>
        <w:rPr>
          <w:sz w:val="20"/>
          <w:szCs w:val="20"/>
        </w:rPr>
      </w:pPr>
    </w:p>
    <w:p w:rsidR="00022EE4" w:rsidRDefault="00022EE4">
      <w:pPr>
        <w:spacing w:line="200" w:lineRule="exact"/>
        <w:rPr>
          <w:sz w:val="20"/>
          <w:szCs w:val="20"/>
        </w:rPr>
      </w:pPr>
    </w:p>
    <w:p w:rsidR="00022EE4" w:rsidRDefault="00493EB0">
      <w:pPr>
        <w:spacing w:before="69"/>
        <w:ind w:left="291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spacing w:val="-1"/>
          <w:sz w:val="24"/>
        </w:rPr>
        <w:t>Elektrik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pacing w:val="-1"/>
          <w:sz w:val="24"/>
        </w:rPr>
        <w:t>enerjisinin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pacing w:val="-1"/>
          <w:sz w:val="24"/>
        </w:rPr>
        <w:t>ölk</w:t>
      </w:r>
      <w:r>
        <w:rPr>
          <w:rFonts w:ascii="Arial" w:hAnsi="Arial"/>
          <w:b/>
          <w:spacing w:val="-1"/>
          <w:sz w:val="24"/>
        </w:rPr>
        <w:t>ə</w:t>
      </w:r>
      <w:r>
        <w:rPr>
          <w:rFonts w:ascii="Arial" w:hAnsi="Arial"/>
          <w:b/>
          <w:spacing w:val="-1"/>
          <w:sz w:val="24"/>
        </w:rPr>
        <w:t>daxili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pacing w:val="-1"/>
          <w:sz w:val="24"/>
        </w:rPr>
        <w:t>tarifl</w:t>
      </w:r>
      <w:r>
        <w:rPr>
          <w:rFonts w:ascii="Arial" w:hAnsi="Arial"/>
          <w:b/>
          <w:spacing w:val="-1"/>
          <w:sz w:val="24"/>
        </w:rPr>
        <w:t>ə</w:t>
      </w:r>
      <w:r>
        <w:rPr>
          <w:rFonts w:ascii="Arial" w:hAnsi="Arial"/>
          <w:b/>
          <w:spacing w:val="-1"/>
          <w:sz w:val="24"/>
        </w:rPr>
        <w:t>ri</w:t>
      </w:r>
      <w:proofErr w:type="spellEnd"/>
    </w:p>
    <w:p w:rsidR="00022EE4" w:rsidRDefault="00022EE4">
      <w:pPr>
        <w:spacing w:before="5" w:line="160" w:lineRule="exact"/>
        <w:rPr>
          <w:sz w:val="16"/>
          <w:szCs w:val="16"/>
        </w:rPr>
      </w:pPr>
    </w:p>
    <w:p w:rsidR="00022EE4" w:rsidRDefault="00022EE4">
      <w:pPr>
        <w:spacing w:line="200" w:lineRule="exact"/>
        <w:rPr>
          <w:sz w:val="20"/>
          <w:szCs w:val="20"/>
        </w:rPr>
      </w:pPr>
    </w:p>
    <w:p w:rsidR="00022EE4" w:rsidRDefault="00022EE4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2446"/>
        <w:gridCol w:w="693"/>
        <w:gridCol w:w="3384"/>
        <w:gridCol w:w="2266"/>
      </w:tblGrid>
      <w:tr w:rsidR="00022EE4">
        <w:trPr>
          <w:trHeight w:hRule="exact" w:val="636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179"/>
              <w:ind w:left="380" w:right="3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№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22EE4" w:rsidRDefault="00022EE4"/>
        </w:tc>
        <w:tc>
          <w:tcPr>
            <w:tcW w:w="407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179"/>
              <w:ind w:left="26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spacing w:val="-1"/>
              </w:rPr>
              <w:t>Xidm</w:t>
            </w:r>
            <w:r>
              <w:rPr>
                <w:rFonts w:ascii="Arial" w:hAnsi="Arial"/>
                <w:b/>
                <w:spacing w:val="-1"/>
              </w:rPr>
              <w:t>ə</w:t>
            </w:r>
            <w:r>
              <w:rPr>
                <w:rFonts w:ascii="Arial" w:hAnsi="Arial"/>
                <w:b/>
                <w:spacing w:val="-1"/>
              </w:rPr>
              <w:t>tl</w:t>
            </w:r>
            <w:r>
              <w:rPr>
                <w:rFonts w:ascii="Arial" w:hAnsi="Arial"/>
                <w:b/>
                <w:spacing w:val="-1"/>
              </w:rPr>
              <w:t>ə</w:t>
            </w:r>
            <w:r>
              <w:rPr>
                <w:rFonts w:ascii="Arial" w:hAnsi="Arial"/>
                <w:b/>
                <w:spacing w:val="-1"/>
              </w:rPr>
              <w:t>rin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</w:rPr>
              <w:t>adı</w:t>
            </w:r>
            <w:proofErr w:type="spellEnd"/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2"/>
              <w:ind w:left="98" w:right="99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b/>
                <w:spacing w:val="-1"/>
              </w:rPr>
              <w:t>Tarifl</w:t>
            </w:r>
            <w:r>
              <w:rPr>
                <w:rFonts w:ascii="Arial" w:hAnsi="Arial"/>
                <w:b/>
                <w:spacing w:val="-1"/>
              </w:rPr>
              <w:t>ə</w:t>
            </w:r>
            <w:r>
              <w:rPr>
                <w:rFonts w:ascii="Arial" w:hAnsi="Arial"/>
                <w:b/>
                <w:spacing w:val="-1"/>
              </w:rPr>
              <w:t>r</w:t>
            </w:r>
            <w:proofErr w:type="spellEnd"/>
          </w:p>
          <w:p w:rsidR="00022EE4" w:rsidRDefault="00493EB0">
            <w:pPr>
              <w:pStyle w:val="TableParagraph"/>
              <w:spacing w:before="44"/>
              <w:ind w:left="99" w:right="9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(ƏDV</w:t>
            </w:r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il</w:t>
            </w:r>
            <w:r>
              <w:rPr>
                <w:rFonts w:ascii="Arial" w:hAnsi="Arial"/>
                <w:spacing w:val="-1"/>
              </w:rPr>
              <w:t>ə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q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pik</w:t>
            </w:r>
            <w:proofErr w:type="spellEnd"/>
            <w:r>
              <w:rPr>
                <w:rFonts w:ascii="Arial" w:hAnsi="Arial"/>
                <w:spacing w:val="-1"/>
              </w:rPr>
              <w:t>/</w:t>
            </w:r>
            <w:proofErr w:type="spellStart"/>
            <w:r>
              <w:rPr>
                <w:rFonts w:ascii="Arial" w:hAnsi="Arial"/>
                <w:spacing w:val="-1"/>
              </w:rPr>
              <w:t>kVts</w:t>
            </w:r>
            <w:proofErr w:type="spellEnd"/>
            <w:r>
              <w:rPr>
                <w:rFonts w:ascii="Arial" w:hAnsi="Arial"/>
                <w:spacing w:val="-1"/>
              </w:rPr>
              <w:t>)</w:t>
            </w:r>
          </w:p>
        </w:tc>
      </w:tr>
      <w:tr w:rsidR="00022EE4">
        <w:trPr>
          <w:trHeight w:hRule="exact" w:val="343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2"/>
              <w:ind w:left="320" w:right="3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I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22EE4" w:rsidRDefault="00022EE4"/>
        </w:tc>
        <w:tc>
          <w:tcPr>
            <w:tcW w:w="6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2EE4" w:rsidRDefault="00022EE4"/>
        </w:tc>
        <w:tc>
          <w:tcPr>
            <w:tcW w:w="33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2"/>
              <w:ind w:left="6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1"/>
              </w:rPr>
              <w:t>II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III</w:t>
            </w:r>
          </w:p>
        </w:tc>
      </w:tr>
      <w:tr w:rsidR="00022EE4">
        <w:trPr>
          <w:trHeight w:hRule="exact" w:val="344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318" w:right="3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1.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22EE4" w:rsidRDefault="00493EB0">
            <w:pPr>
              <w:pStyle w:val="TableParagraph"/>
              <w:spacing w:before="35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İstehsalçıdan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satınalma</w:t>
            </w:r>
            <w:proofErr w:type="spellEnd"/>
          </w:p>
        </w:tc>
        <w:tc>
          <w:tcPr>
            <w:tcW w:w="6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2EE4" w:rsidRDefault="00022EE4"/>
        </w:tc>
        <w:tc>
          <w:tcPr>
            <w:tcW w:w="33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22EE4" w:rsidRDefault="00022EE4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022EE4"/>
        </w:tc>
      </w:tr>
      <w:tr w:rsidR="00022EE4">
        <w:trPr>
          <w:trHeight w:hRule="exact" w:val="343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30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1.1.</w:t>
            </w:r>
          </w:p>
        </w:tc>
        <w:tc>
          <w:tcPr>
            <w:tcW w:w="65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102" w:right="2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Öz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l</w:t>
            </w:r>
            <w:proofErr w:type="spellEnd"/>
            <w:r>
              <w:rPr>
                <w:rFonts w:ascii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kiçik</w:t>
            </w:r>
            <w:proofErr w:type="spellEnd"/>
            <w:r>
              <w:rPr>
                <w:rFonts w:ascii="Arial" w:hAnsi="Arial"/>
                <w:spacing w:val="3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su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elektrik</w:t>
            </w:r>
            <w:proofErr w:type="spellEnd"/>
            <w:r>
              <w:rPr>
                <w:rFonts w:ascii="Arial" w:hAnsi="Arial"/>
                <w:spacing w:val="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stansiyaları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üzr</w:t>
            </w:r>
            <w:r>
              <w:rPr>
                <w:rFonts w:ascii="Arial" w:hAnsi="Arial"/>
                <w:spacing w:val="-1"/>
              </w:rPr>
              <w:t>ə</w:t>
            </w:r>
            <w:proofErr w:type="spellEnd"/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99" w:right="9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5,0</w:t>
            </w:r>
          </w:p>
        </w:tc>
      </w:tr>
      <w:tr w:rsidR="00022EE4">
        <w:trPr>
          <w:trHeight w:hRule="exact" w:val="343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30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1.2.</w:t>
            </w:r>
          </w:p>
        </w:tc>
        <w:tc>
          <w:tcPr>
            <w:tcW w:w="31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22EE4" w:rsidRDefault="00493EB0">
            <w:pPr>
              <w:pStyle w:val="TableParagraph"/>
              <w:spacing w:before="35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Kül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k</w:t>
            </w:r>
            <w:proofErr w:type="spellEnd"/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elektrik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stansiyaları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üzr</w:t>
            </w:r>
            <w:r>
              <w:rPr>
                <w:rFonts w:ascii="Arial" w:hAnsi="Arial"/>
                <w:spacing w:val="-1"/>
              </w:rPr>
              <w:t>ə</w:t>
            </w:r>
            <w:proofErr w:type="spellEnd"/>
          </w:p>
        </w:tc>
        <w:tc>
          <w:tcPr>
            <w:tcW w:w="33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22EE4" w:rsidRDefault="00022EE4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99" w:right="9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5,5</w:t>
            </w:r>
          </w:p>
        </w:tc>
      </w:tr>
      <w:tr w:rsidR="00022EE4">
        <w:trPr>
          <w:trHeight w:hRule="exact" w:val="343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30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1.3.</w:t>
            </w:r>
          </w:p>
        </w:tc>
        <w:tc>
          <w:tcPr>
            <w:tcW w:w="65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102" w:right="2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Dig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r</w:t>
            </w:r>
            <w:proofErr w:type="spellEnd"/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alternativ</w:t>
            </w:r>
            <w:proofErr w:type="spellEnd"/>
            <w:r>
              <w:rPr>
                <w:rFonts w:ascii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v</w:t>
            </w:r>
            <w:r>
              <w:rPr>
                <w:rFonts w:ascii="Arial" w:hAnsi="Arial"/>
                <w:spacing w:val="-2"/>
              </w:rPr>
              <w:t>ə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</w:t>
            </w:r>
            <w:r>
              <w:rPr>
                <w:rFonts w:ascii="Arial" w:hAnsi="Arial"/>
              </w:rPr>
              <w:t>ə</w:t>
            </w:r>
            <w:r>
              <w:rPr>
                <w:rFonts w:ascii="Arial" w:hAnsi="Arial"/>
              </w:rPr>
              <w:t>rpa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olunan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m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nb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l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r</w:t>
            </w:r>
            <w:proofErr w:type="spellEnd"/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üzr</w:t>
            </w:r>
            <w:r>
              <w:rPr>
                <w:rFonts w:ascii="Arial" w:hAnsi="Arial"/>
                <w:spacing w:val="-1"/>
              </w:rPr>
              <w:t>ə</w:t>
            </w:r>
            <w:proofErr w:type="spellEnd"/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99" w:right="9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5,7</w:t>
            </w:r>
          </w:p>
        </w:tc>
      </w:tr>
      <w:tr w:rsidR="00022EE4">
        <w:trPr>
          <w:trHeight w:hRule="exact" w:val="343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318" w:right="3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2.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22EE4" w:rsidRDefault="00493EB0">
            <w:pPr>
              <w:pStyle w:val="TableParagraph"/>
              <w:spacing w:before="35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Topdansatış</w:t>
            </w:r>
            <w:proofErr w:type="spellEnd"/>
          </w:p>
        </w:tc>
        <w:tc>
          <w:tcPr>
            <w:tcW w:w="6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2EE4" w:rsidRDefault="00022EE4"/>
        </w:tc>
        <w:tc>
          <w:tcPr>
            <w:tcW w:w="33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22EE4" w:rsidRDefault="00022EE4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99" w:right="9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5,7</w:t>
            </w:r>
          </w:p>
        </w:tc>
      </w:tr>
      <w:tr w:rsidR="00022EE4">
        <w:trPr>
          <w:trHeight w:hRule="exact" w:val="1354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022EE4">
            <w:pPr>
              <w:pStyle w:val="TableParagraph"/>
              <w:spacing w:line="220" w:lineRule="exact"/>
            </w:pPr>
          </w:p>
          <w:p w:rsidR="00022EE4" w:rsidRDefault="00022EE4">
            <w:pPr>
              <w:pStyle w:val="TableParagraph"/>
              <w:spacing w:before="1" w:line="320" w:lineRule="exact"/>
              <w:rPr>
                <w:sz w:val="32"/>
                <w:szCs w:val="32"/>
              </w:rPr>
            </w:pPr>
          </w:p>
          <w:p w:rsidR="00022EE4" w:rsidRDefault="00493EB0">
            <w:pPr>
              <w:pStyle w:val="TableParagraph"/>
              <w:ind w:left="30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2.1.</w:t>
            </w:r>
          </w:p>
        </w:tc>
        <w:tc>
          <w:tcPr>
            <w:tcW w:w="65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7"/>
              <w:ind w:left="102" w:right="2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Enerji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t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chizatı</w:t>
            </w:r>
            <w:proofErr w:type="spellEnd"/>
            <w:r>
              <w:rPr>
                <w:rFonts w:ascii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birbaşa</w:t>
            </w:r>
            <w:proofErr w:type="spellEnd"/>
            <w:r>
              <w:rPr>
                <w:rFonts w:ascii="Arial" w:hAnsi="Arial"/>
              </w:rPr>
              <w:t xml:space="preserve"> 35 </w:t>
            </w:r>
            <w:proofErr w:type="spellStart"/>
            <w:r>
              <w:rPr>
                <w:rFonts w:ascii="Arial" w:hAnsi="Arial"/>
                <w:spacing w:val="-2"/>
              </w:rPr>
              <w:t>v</w:t>
            </w:r>
            <w:r>
              <w:rPr>
                <w:rFonts w:ascii="Arial" w:hAnsi="Arial"/>
                <w:spacing w:val="-2"/>
              </w:rPr>
              <w:t>ə</w:t>
            </w:r>
            <w:proofErr w:type="spellEnd"/>
            <w:r>
              <w:rPr>
                <w:rFonts w:ascii="Arial" w:hAnsi="Arial"/>
              </w:rPr>
              <w:t xml:space="preserve"> 110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kV-</w:t>
            </w:r>
            <w:proofErr w:type="spellStart"/>
            <w:r>
              <w:rPr>
                <w:rFonts w:ascii="Arial" w:hAnsi="Arial"/>
                <w:spacing w:val="-1"/>
              </w:rPr>
              <w:t>luq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x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tl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rl</w:t>
            </w:r>
            <w:r>
              <w:rPr>
                <w:rFonts w:ascii="Arial" w:hAnsi="Arial"/>
                <w:spacing w:val="-1"/>
              </w:rPr>
              <w:t>ə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h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yata</w:t>
            </w:r>
            <w:proofErr w:type="spellEnd"/>
            <w:r>
              <w:rPr>
                <w:rFonts w:ascii="Arial" w:hAnsi="Arial"/>
                <w:spacing w:val="43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keçiril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n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gün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ə</w:t>
            </w:r>
            <w:r>
              <w:rPr>
                <w:rFonts w:ascii="Arial" w:hAnsi="Arial"/>
                <w:spacing w:val="-2"/>
              </w:rPr>
              <w:t>rzind</w:t>
            </w:r>
            <w:r>
              <w:rPr>
                <w:rFonts w:ascii="Arial" w:hAnsi="Arial"/>
                <w:spacing w:val="-2"/>
              </w:rPr>
              <w:t>ə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yük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t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l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batı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stabil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olan</w:t>
            </w:r>
            <w:proofErr w:type="spellEnd"/>
            <w:r>
              <w:rPr>
                <w:rFonts w:ascii="Arial" w:hAnsi="Arial"/>
                <w:spacing w:val="-1"/>
              </w:rPr>
              <w:t xml:space="preserve">, </w:t>
            </w:r>
            <w:proofErr w:type="spellStart"/>
            <w:r>
              <w:rPr>
                <w:rFonts w:ascii="Arial" w:hAnsi="Arial"/>
                <w:spacing w:val="-1"/>
              </w:rPr>
              <w:t>istehsal</w:t>
            </w:r>
            <w:proofErr w:type="spellEnd"/>
            <w:r>
              <w:rPr>
                <w:rFonts w:ascii="Arial" w:hAnsi="Arial"/>
                <w:spacing w:val="5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m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qs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dl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ri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üçün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orta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aylıq</w:t>
            </w:r>
            <w:proofErr w:type="spellEnd"/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enerji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istehlakı</w:t>
            </w:r>
            <w:proofErr w:type="spellEnd"/>
            <w:r>
              <w:rPr>
                <w:rFonts w:ascii="Arial" w:hAnsi="Arial"/>
              </w:rPr>
              <w:t xml:space="preserve"> 5 </w:t>
            </w:r>
            <w:proofErr w:type="spellStart"/>
            <w:r>
              <w:rPr>
                <w:rFonts w:ascii="Arial" w:hAnsi="Arial"/>
                <w:spacing w:val="-1"/>
              </w:rPr>
              <w:t>milyon</w:t>
            </w:r>
            <w:proofErr w:type="spellEnd"/>
            <w:r>
              <w:rPr>
                <w:rFonts w:ascii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kVts-dan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az</w:t>
            </w:r>
            <w:proofErr w:type="spellEnd"/>
            <w:r>
              <w:rPr>
                <w:rFonts w:ascii="Arial" w:hAnsi="Arial"/>
                <w:spacing w:val="25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olmayan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kimya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v</w:t>
            </w:r>
            <w:r>
              <w:rPr>
                <w:rFonts w:ascii="Arial" w:hAnsi="Arial"/>
                <w:spacing w:val="-1"/>
              </w:rPr>
              <w:t>ə</w:t>
            </w:r>
            <w:proofErr w:type="spellEnd"/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alüminium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s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nayesi</w:t>
            </w:r>
            <w:proofErr w:type="spellEnd"/>
            <w:r>
              <w:rPr>
                <w:rFonts w:ascii="Arial" w:hAnsi="Arial"/>
                <w:spacing w:val="-1"/>
              </w:rPr>
              <w:t>,</w:t>
            </w:r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dağ-m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d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n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filizi</w:t>
            </w:r>
            <w:proofErr w:type="spellEnd"/>
            <w:r>
              <w:rPr>
                <w:rFonts w:ascii="Arial" w:hAnsi="Arial"/>
                <w:spacing w:val="30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sasında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polad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ə</w:t>
            </w:r>
            <w:r>
              <w:rPr>
                <w:rFonts w:ascii="Arial" w:hAnsi="Arial"/>
              </w:rPr>
              <w:t>ritm</w:t>
            </w:r>
            <w:r>
              <w:rPr>
                <w:rFonts w:ascii="Arial" w:hAnsi="Arial"/>
              </w:rPr>
              <w:t>ə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istehsalı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mü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ssis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l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ri</w:t>
            </w:r>
            <w:proofErr w:type="spellEnd"/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022EE4"/>
        </w:tc>
      </w:tr>
      <w:tr w:rsidR="00022EE4">
        <w:trPr>
          <w:trHeight w:hRule="exact" w:val="343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21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2.1.1.</w:t>
            </w:r>
          </w:p>
        </w:tc>
        <w:tc>
          <w:tcPr>
            <w:tcW w:w="65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102" w:right="2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Gündüz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vaxtı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(</w:t>
            </w:r>
            <w:proofErr w:type="spellStart"/>
            <w:r>
              <w:rPr>
                <w:rFonts w:ascii="Arial" w:hAnsi="Arial"/>
                <w:spacing w:val="-1"/>
              </w:rPr>
              <w:t>saat</w:t>
            </w:r>
            <w:proofErr w:type="spellEnd"/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08.00-dan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22.00-a</w:t>
            </w:r>
            <w:r>
              <w:rPr>
                <w:rFonts w:ascii="Arial" w:hAnsi="Arial"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q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d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r</w:t>
            </w:r>
            <w:proofErr w:type="spellEnd"/>
            <w:r>
              <w:rPr>
                <w:rFonts w:ascii="Arial" w:hAnsi="Arial"/>
                <w:spacing w:val="-1"/>
              </w:rPr>
              <w:t>)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99" w:right="9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5,8</w:t>
            </w:r>
          </w:p>
        </w:tc>
      </w:tr>
      <w:tr w:rsidR="00022EE4">
        <w:trPr>
          <w:trHeight w:hRule="exact" w:val="344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21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2.1.2.</w:t>
            </w:r>
          </w:p>
        </w:tc>
        <w:tc>
          <w:tcPr>
            <w:tcW w:w="65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102" w:right="2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</w:rPr>
              <w:t>Gec</w:t>
            </w:r>
            <w:r>
              <w:rPr>
                <w:rFonts w:ascii="Arial" w:hAnsi="Arial"/>
              </w:rPr>
              <w:t>ə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vaxtı</w:t>
            </w:r>
            <w:proofErr w:type="spellEnd"/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(</w:t>
            </w:r>
            <w:proofErr w:type="spellStart"/>
            <w:r>
              <w:rPr>
                <w:rFonts w:ascii="Arial" w:hAnsi="Arial"/>
                <w:spacing w:val="-1"/>
              </w:rPr>
              <w:t>saat</w:t>
            </w:r>
            <w:proofErr w:type="spellEnd"/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22.00-dan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08.00-a</w:t>
            </w:r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q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d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r</w:t>
            </w:r>
            <w:proofErr w:type="spellEnd"/>
            <w:r>
              <w:rPr>
                <w:rFonts w:ascii="Arial" w:hAnsi="Arial"/>
                <w:spacing w:val="-1"/>
              </w:rPr>
              <w:t>)</w:t>
            </w:r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99" w:right="9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2,8</w:t>
            </w:r>
          </w:p>
        </w:tc>
      </w:tr>
      <w:tr w:rsidR="00022EE4">
        <w:trPr>
          <w:trHeight w:hRule="exact" w:val="343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318" w:right="3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3.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22EE4" w:rsidRDefault="00493EB0">
            <w:pPr>
              <w:pStyle w:val="TableParagraph"/>
              <w:spacing w:before="35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Tranzit</w:t>
            </w:r>
            <w:proofErr w:type="spellEnd"/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ötürülm</w:t>
            </w:r>
            <w:r>
              <w:rPr>
                <w:rFonts w:ascii="Arial" w:hAnsi="Arial"/>
                <w:spacing w:val="-1"/>
              </w:rPr>
              <w:t>ə</w:t>
            </w:r>
            <w:proofErr w:type="spellEnd"/>
          </w:p>
        </w:tc>
        <w:tc>
          <w:tcPr>
            <w:tcW w:w="6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2EE4" w:rsidRDefault="00022EE4"/>
        </w:tc>
        <w:tc>
          <w:tcPr>
            <w:tcW w:w="33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22EE4" w:rsidRDefault="00022EE4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99" w:right="9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0,2</w:t>
            </w:r>
          </w:p>
        </w:tc>
      </w:tr>
      <w:tr w:rsidR="00022EE4">
        <w:trPr>
          <w:trHeight w:hRule="exact" w:val="343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318" w:right="3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4.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22EE4" w:rsidRDefault="00493EB0">
            <w:pPr>
              <w:pStyle w:val="TableParagraph"/>
              <w:spacing w:before="35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P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rak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nd</w:t>
            </w:r>
            <w:r>
              <w:rPr>
                <w:rFonts w:ascii="Arial" w:hAnsi="Arial"/>
                <w:spacing w:val="-1"/>
              </w:rPr>
              <w:t>ə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satış</w:t>
            </w:r>
            <w:proofErr w:type="spellEnd"/>
          </w:p>
        </w:tc>
        <w:tc>
          <w:tcPr>
            <w:tcW w:w="6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2EE4" w:rsidRDefault="00022EE4"/>
        </w:tc>
        <w:tc>
          <w:tcPr>
            <w:tcW w:w="33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22EE4" w:rsidRDefault="00022EE4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022EE4"/>
        </w:tc>
      </w:tr>
      <w:tr w:rsidR="00022EE4">
        <w:trPr>
          <w:trHeight w:hRule="exact" w:val="343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30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4.1.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22EE4" w:rsidRDefault="00493EB0">
            <w:pPr>
              <w:pStyle w:val="TableParagraph"/>
              <w:spacing w:before="35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hali</w:t>
            </w:r>
            <w:proofErr w:type="spellEnd"/>
          </w:p>
        </w:tc>
        <w:tc>
          <w:tcPr>
            <w:tcW w:w="6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2EE4" w:rsidRDefault="00022EE4"/>
        </w:tc>
        <w:tc>
          <w:tcPr>
            <w:tcW w:w="33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22EE4" w:rsidRDefault="00022EE4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022EE4"/>
        </w:tc>
      </w:tr>
      <w:tr w:rsidR="00022EE4">
        <w:trPr>
          <w:trHeight w:hRule="exact" w:val="595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162"/>
              <w:ind w:left="21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4.1.1.</w:t>
            </w:r>
          </w:p>
        </w:tc>
        <w:tc>
          <w:tcPr>
            <w:tcW w:w="65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7"/>
              <w:ind w:left="102" w:right="2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2"/>
              </w:rPr>
              <w:t>aylıq</w:t>
            </w:r>
            <w:proofErr w:type="spellEnd"/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istehlak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h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cminin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250</w:t>
            </w:r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kVts</w:t>
            </w:r>
            <w:proofErr w:type="spellEnd"/>
            <w:r>
              <w:rPr>
                <w:rFonts w:ascii="Arial" w:hAnsi="Arial"/>
              </w:rPr>
              <w:t>-a</w:t>
            </w:r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q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d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r</w:t>
            </w:r>
            <w:proofErr w:type="spellEnd"/>
            <w:r>
              <w:rPr>
                <w:rFonts w:ascii="Arial" w:hAnsi="Arial"/>
                <w:spacing w:val="-1"/>
              </w:rPr>
              <w:t xml:space="preserve"> (250</w:t>
            </w:r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kVts</w:t>
            </w:r>
            <w:proofErr w:type="spellEnd"/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</w:rPr>
              <w:t>daxil</w:t>
            </w:r>
            <w:proofErr w:type="spellEnd"/>
            <w:r>
              <w:rPr>
                <w:rFonts w:ascii="Arial" w:hAnsi="Arial"/>
                <w:spacing w:val="-2"/>
              </w:rPr>
              <w:t>)</w:t>
            </w:r>
            <w:r>
              <w:rPr>
                <w:rFonts w:ascii="Arial" w:hAnsi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olan</w:t>
            </w:r>
            <w:proofErr w:type="spellEnd"/>
            <w:r>
              <w:rPr>
                <w:rFonts w:ascii="Arial" w:hAnsi="Arial"/>
                <w:spacing w:val="45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hiss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si</w:t>
            </w:r>
            <w:proofErr w:type="spellEnd"/>
            <w:r>
              <w:rPr>
                <w:rFonts w:ascii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üçün</w:t>
            </w:r>
            <w:proofErr w:type="spellEnd"/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162"/>
              <w:ind w:left="99" w:right="9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7,0</w:t>
            </w:r>
          </w:p>
        </w:tc>
      </w:tr>
      <w:tr w:rsidR="00022EE4">
        <w:trPr>
          <w:trHeight w:hRule="exact" w:val="343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21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4.1.2.</w:t>
            </w:r>
          </w:p>
        </w:tc>
        <w:tc>
          <w:tcPr>
            <w:tcW w:w="65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102" w:right="23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2"/>
              </w:rPr>
              <w:t>aylıq</w:t>
            </w:r>
            <w:proofErr w:type="spellEnd"/>
            <w:r>
              <w:rPr>
                <w:rFonts w:ascii="Arial" w:hAnsi="Arial"/>
                <w:spacing w:val="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istehlak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h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cminin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250</w:t>
            </w:r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kVts-dan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çox</w:t>
            </w:r>
            <w:proofErr w:type="spellEnd"/>
            <w:r>
              <w:rPr>
                <w:rFonts w:ascii="Arial" w:hAnsi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olan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hiss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si</w:t>
            </w:r>
            <w:proofErr w:type="spellEnd"/>
            <w:r>
              <w:rPr>
                <w:rFonts w:ascii="Arial" w:hAnsi="Arial"/>
                <w:spacing w:val="-1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</w:rPr>
              <w:t>üçün</w:t>
            </w:r>
            <w:proofErr w:type="spellEnd"/>
          </w:p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99" w:right="9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11,0</w:t>
            </w:r>
          </w:p>
        </w:tc>
      </w:tr>
      <w:tr w:rsidR="00022EE4">
        <w:trPr>
          <w:trHeight w:hRule="exact" w:val="343"/>
        </w:trPr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30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4.2.</w:t>
            </w:r>
          </w:p>
        </w:tc>
        <w:tc>
          <w:tcPr>
            <w:tcW w:w="2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22EE4" w:rsidRDefault="00493EB0">
            <w:pPr>
              <w:pStyle w:val="TableParagraph"/>
              <w:spacing w:before="35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/>
                <w:spacing w:val="-1"/>
              </w:rPr>
              <w:t>Qeyri-</w:t>
            </w:r>
            <w:r>
              <w:rPr>
                <w:rFonts w:ascii="Arial" w:hAnsi="Arial"/>
                <w:spacing w:val="-1"/>
              </w:rPr>
              <w:t>ə</w:t>
            </w:r>
            <w:r>
              <w:rPr>
                <w:rFonts w:ascii="Arial" w:hAnsi="Arial"/>
                <w:spacing w:val="-1"/>
              </w:rPr>
              <w:t>hali</w:t>
            </w:r>
            <w:proofErr w:type="spellEnd"/>
          </w:p>
        </w:tc>
        <w:tc>
          <w:tcPr>
            <w:tcW w:w="6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2EE4" w:rsidRDefault="00022EE4"/>
        </w:tc>
        <w:tc>
          <w:tcPr>
            <w:tcW w:w="33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022EE4" w:rsidRDefault="00022EE4"/>
        </w:tc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2EE4" w:rsidRDefault="00493EB0">
            <w:pPr>
              <w:pStyle w:val="TableParagraph"/>
              <w:spacing w:before="35"/>
              <w:ind w:left="99" w:right="9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9,0</w:t>
            </w:r>
          </w:p>
        </w:tc>
      </w:tr>
    </w:tbl>
    <w:p w:rsidR="00493EB0" w:rsidRDefault="00493EB0"/>
    <w:sectPr w:rsidR="00493EB0">
      <w:type w:val="continuous"/>
      <w:pgSz w:w="11910" w:h="16850"/>
      <w:pgMar w:top="1080" w:right="5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rEwMjW1MDY2NrU0MTJQ0lEKTi0uzszPAykwrAUAxLFIIywAAAA="/>
  </w:docVars>
  <w:rsids>
    <w:rsidRoot w:val="00022EE4"/>
    <w:rsid w:val="00022EE4"/>
    <w:rsid w:val="00493EB0"/>
    <w:rsid w:val="00B4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8328C-5695-4E64-BA52-29D90B97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7374" w:hanging="4"/>
    </w:pPr>
    <w:rPr>
      <w:rFonts w:ascii="Arial" w:eastAsia="Arial" w:hAnsi="Arial"/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Ceyhun</dc:creator>
  <cp:lastModifiedBy>ramil gachayev</cp:lastModifiedBy>
  <cp:revision>2</cp:revision>
  <dcterms:created xsi:type="dcterms:W3CDTF">2016-11-28T20:52:00Z</dcterms:created>
  <dcterms:modified xsi:type="dcterms:W3CDTF">2016-11-28T16:53:00Z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LastSaved">
    <vt:filetime>2016-11-28T00:00:00Z</vt:filetime>
  </property>
</Properties>
</file>