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D" w:rsidRPr="0014473D" w:rsidRDefault="0014473D" w:rsidP="0014473D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LİZİNQ OBYEKTİNİN ALQI-SATQI MÜQAVİLƏSİ №</w:t>
      </w: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  <w:t> </w:t>
      </w:r>
    </w:p>
    <w:p w:rsidR="0014473D" w:rsidRPr="0014473D" w:rsidRDefault="0014473D" w:rsidP="00514982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Bakı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şəhəri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             </w:t>
      </w:r>
      <w:bookmarkStart w:id="0" w:name="_GoBack"/>
      <w:bookmarkEnd w:id="0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                                                             "___" ______________ 20___-ci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Bundan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"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"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adlandırılan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_____________________________________________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ünvanında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yaşayan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Alverçiyev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Tacir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şəxsiyyət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vəsiqəsi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AZE № _________________, 00.00.20___-ci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 RPİ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verilmişdir),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bundan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"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"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adlandırılan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ünvanında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yerləşən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“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Təşkilatın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”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etibarnaməyə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adından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hərəkət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Səlahiyyət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Nümayəndəliyev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şəxsiyyət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vəsiqəsi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AZE № _________________, 00.00.20___-ci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 RPİ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verilmişdir),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aşağıdakılar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razılığa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gəldilər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predmeti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1.1.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saylı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Əlavəsində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göstərilmiş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avtomaşının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bundan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"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"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adlandırılacaqdır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)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satılmasını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2.1. </w:t>
      </w: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bəndində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dəyərinin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ödənilməsini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edilməsini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öhdəsinə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götürür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1.2.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Ortada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Qalanova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lizinqə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verilməsi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məqsədilə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1.3.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Mülki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Məcəlləsinin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747-5.2.2. </w:t>
      </w: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maddəsinə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 №-li, "___" ______________ 20___-ci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tarixli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Lizinq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Lizinq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qismində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çıxış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Alıcının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hüquqlarına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malikdir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1.4.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aşağıdakı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göstərdiyi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təhvil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_________________________________________________________________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1.5.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Satıcının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Alıcının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 №-li, "___" ______________ 20___-ci </w:t>
      </w: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tarixli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Lizinq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Lizinq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Alıcının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Lizinq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alanın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qismində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çıxış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imzalanmış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protokolu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rəsmiləşdirilir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1.6. Bu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1.5. </w:t>
      </w: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bəndində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göstərilənlərin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hamısı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protokolunu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imzalandıqdan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qiyməti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şərtləri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2.1. Bu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predmeti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qiyməti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_______________________________________ manat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təşkil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2.2.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qiyməti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qüvvəyə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mindikdən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10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ərzində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2.3. Bu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üzrə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ödənişlər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manatla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aparılır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vəzifələri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3.1.1.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dəyərinin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alınması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üzərinə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qoyulmuş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öhdəliklərin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edilməsini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hüququna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malikdir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3.2.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3.2.1. Bu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qüvvəyə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mindikdən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10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ərzində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üçün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zəruri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tədbirlər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görməlidir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3.2.2.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saylı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Əlavəsində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göstərilmiş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kəmiyyət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göstəricilərinə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cavab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verməsini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təmin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etməlidir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 xml:space="preserve">3.2.3.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aid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ləvazimat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təhvil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verilməsi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eyni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vaxtda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təqdim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etməlidir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3.2.4.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Qarantiya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ərzində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aşkar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qüsurları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3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ərzində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aradan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qaldırılmalı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qüsurların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aradan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qaldırılması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olmadıqda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3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ərzində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əvəz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etməlidir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3.2.5. </w:t>
      </w: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üzərinə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qoyulmuş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vəzifələri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yetirir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3.2.6.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göstərilmiş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Satıcıdan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almaq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Satıcının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öhdəliklərinin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edilməsini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tələb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hüququna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malikdir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3.3.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3.3.1.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Satıcıdan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qəbul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etməlidir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;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3.3.2. </w:t>
      </w: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edilmiş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dəyərini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ödəməlidir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köçürmə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nağd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);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3.3.3. </w:t>
      </w: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üzərinə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qoyulmuş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vəzifələri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yetirir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şərtlərinin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dəyişdirilməsi,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xitam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verilməsi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4.1.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\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zərurəti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yaranan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xərcləri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üzərinə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götürür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4.2 Bu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şərtlərinin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dəyişdirilməsinə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razılığı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Müqaviləyə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dəyişikliklər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yazılı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formada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aparılır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yalnız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imza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möhürü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edildiyi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andan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qüvvəyə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minir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Birtərəfli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aparılmış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dəyişikliklər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qüvvəyə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malik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deyil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4.3 Bu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öz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öhdəliklərini tam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həcmdə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edənədək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qüvvədədir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5.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Qarantiya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5.1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Satıcı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 </w:t>
      </w: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müddətinə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keyfiyyətinə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qarantiya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Qarantiya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müddətinin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hesablanması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Alıcıya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təhvil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verildiyi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gündən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başlayır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6.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Mübahisələrin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həlli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ö.l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Bu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icrası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bağlı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arasında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əmələ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gələn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bütün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mübahisələr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danışıqlar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yolu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həll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ediləcəkdir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Danışıqlar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yolu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razılığa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gəlmək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olmadıqda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mübahisə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məhkəməsi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vasitəsilə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həll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ediləcəkdir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7. Son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müddəalar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7.1</w:t>
      </w:r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..</w:t>
      </w:r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Bu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bərabər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qüvvəyə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malik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2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nüsxədə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tərtib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edilmişdir.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5294"/>
      </w:tblGrid>
      <w:tr w:rsidR="0014473D" w:rsidRPr="0014473D" w:rsidTr="0014473D">
        <w:tc>
          <w:tcPr>
            <w:tcW w:w="2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50" w:after="150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Satıcı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adından</w:t>
            </w:r>
            <w:proofErr w:type="spellEnd"/>
          </w:p>
        </w:tc>
        <w:tc>
          <w:tcPr>
            <w:tcW w:w="28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50" w:after="150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Alıcı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adından</w:t>
            </w:r>
            <w:proofErr w:type="spellEnd"/>
          </w:p>
        </w:tc>
      </w:tr>
      <w:tr w:rsidR="0014473D" w:rsidRPr="0014473D" w:rsidTr="0014473D">
        <w:tc>
          <w:tcPr>
            <w:tcW w:w="2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_______________ 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Alverçiyev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Tacir</w:t>
            </w:r>
            <w:proofErr w:type="spellEnd"/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br/>
              <w:t>“___” _____________ 20____ 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</w:t>
            </w:r>
            <w:proofErr w:type="spellEnd"/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_______________ 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Səlahiyyət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Nümayəndəliyev</w:t>
            </w:r>
            <w:proofErr w:type="spellEnd"/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br/>
              <w:t>“___” _____________ 20____ 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</w:t>
            </w:r>
            <w:proofErr w:type="spellEnd"/>
          </w:p>
        </w:tc>
      </w:tr>
    </w:tbl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 </w:t>
      </w:r>
    </w:p>
    <w:p w:rsidR="0014473D" w:rsidRPr="0014473D" w:rsidRDefault="0014473D" w:rsidP="0014473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TƏRƏFLƏRİN HÜQUQİ ÜNVANLARI VƏ BANK REKVİZİTLƏRİ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14473D" w:rsidRPr="0014473D" w:rsidTr="0014473D">
        <w:tc>
          <w:tcPr>
            <w:tcW w:w="25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50" w:after="150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Alverçiyev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Tacir</w:t>
            </w:r>
            <w:proofErr w:type="spellEnd"/>
          </w:p>
        </w:tc>
        <w:tc>
          <w:tcPr>
            <w:tcW w:w="25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50" w:after="150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“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Təşkilatın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adı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”</w:t>
            </w:r>
          </w:p>
        </w:tc>
      </w:tr>
      <w:tr w:rsidR="0014473D" w:rsidRPr="0014473D" w:rsidTr="0014473D">
        <w:tc>
          <w:tcPr>
            <w:tcW w:w="25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Ünvan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:</w:t>
            </w:r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  <w:tc>
          <w:tcPr>
            <w:tcW w:w="25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Ünvan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:</w:t>
            </w:r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</w:tr>
      <w:tr w:rsidR="0014473D" w:rsidRPr="0014473D" w:rsidTr="0014473D">
        <w:tc>
          <w:tcPr>
            <w:tcW w:w="25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Bank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rekvizitləri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:</w:t>
            </w:r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  <w:tc>
          <w:tcPr>
            <w:tcW w:w="25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Bank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rekvizitləri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:</w:t>
            </w:r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</w:tr>
    </w:tbl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________________№-li,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"___" ______________ 20___-ci </w:t>
      </w: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tarixli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lizinq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obyektinin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alqı-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satqı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müqaviləsinə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1</w:t>
      </w:r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saylı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Əlavə</w:t>
      </w:r>
      <w:proofErr w:type="spellEnd"/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Lizinq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əmlakının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:_</w:t>
      </w:r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_______________________________________________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Buraxılış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ili</w:t>
      </w:r>
      <w:proofErr w:type="spellEnd"/>
      <w:proofErr w:type="gram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______________________________________________________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Texniki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göstəriciləri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________________________________________________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Tip: ____________________________________________________________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Rəngi</w:t>
      </w:r>
      <w:proofErr w:type="spellEnd"/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__________________________________________________________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5294"/>
      </w:tblGrid>
      <w:tr w:rsidR="0014473D" w:rsidRPr="0014473D" w:rsidTr="0014473D">
        <w:tc>
          <w:tcPr>
            <w:tcW w:w="2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50" w:after="150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Satıcı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adından</w:t>
            </w:r>
            <w:proofErr w:type="spellEnd"/>
          </w:p>
        </w:tc>
        <w:tc>
          <w:tcPr>
            <w:tcW w:w="28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50" w:after="150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Alıcı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adından</w:t>
            </w:r>
            <w:proofErr w:type="spellEnd"/>
          </w:p>
        </w:tc>
      </w:tr>
      <w:tr w:rsidR="0014473D" w:rsidRPr="0014473D" w:rsidTr="0014473D">
        <w:tc>
          <w:tcPr>
            <w:tcW w:w="216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_______________ 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Alverçiyev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Tacir</w:t>
            </w:r>
            <w:proofErr w:type="spellEnd"/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br/>
              <w:t>“___” _____________ 20____ 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</w:t>
            </w:r>
            <w:proofErr w:type="spellEnd"/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3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_______________ 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Səlahiyyət</w:t>
            </w:r>
            <w:proofErr w:type="spellEnd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Nümayəndəliyev</w:t>
            </w:r>
            <w:proofErr w:type="spellEnd"/>
          </w:p>
          <w:p w:rsidR="0014473D" w:rsidRPr="0014473D" w:rsidRDefault="0014473D" w:rsidP="0014473D">
            <w:pPr>
              <w:spacing w:before="120" w:after="216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br/>
              <w:t>“___” _____________ 20____ </w:t>
            </w:r>
            <w:proofErr w:type="spellStart"/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il</w:t>
            </w:r>
            <w:proofErr w:type="spellEnd"/>
          </w:p>
          <w:p w:rsidR="0014473D" w:rsidRPr="0014473D" w:rsidRDefault="0014473D" w:rsidP="0014473D">
            <w:pPr>
              <w:spacing w:after="0" w:line="225" w:lineRule="atLeast"/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</w:pPr>
            <w:r w:rsidRPr="0014473D">
              <w:rPr>
                <w:rFonts w:ascii="Helvetica" w:eastAsia="Times New Roman" w:hAnsi="Helvetica" w:cs="Helvetica"/>
                <w:sz w:val="20"/>
                <w:szCs w:val="20"/>
                <w:lang w:val="en-US"/>
              </w:rPr>
              <w:t> </w:t>
            </w:r>
          </w:p>
        </w:tc>
      </w:tr>
    </w:tbl>
    <w:p w:rsidR="0014473D" w:rsidRPr="0014473D" w:rsidRDefault="0014473D" w:rsidP="0014473D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14473D" w:rsidRPr="0014473D" w:rsidRDefault="0014473D" w:rsidP="0014473D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14473D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D"/>
    <w:rsid w:val="0014473D"/>
    <w:rsid w:val="00514982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BFC6F-9DDB-4886-B16F-E3F64562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47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2015-10-05T18:30:00Z</dcterms:created>
  <dcterms:modified xsi:type="dcterms:W3CDTF">2015-10-05T18:31:00Z</dcterms:modified>
</cp:coreProperties>
</file>